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7.png" ContentType="image/png"/>
  <Override PartName="/word/media/rId34.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annual land-cover product uncertainty</w:t>
      </w:r>
    </w:p>
    <w:p>
      <w:pPr>
        <w:pStyle w:val="Author"/>
      </w:pPr>
    </w:p>
    <w:bookmarkStart w:id="9" w:name="abstract"/>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ranked first in all four Dynamic World targets from 2021 to 2024, but in only two of four matched ArcGIS-served targets; FLUS-style led in 2021 and GeoFM-LDN in 2022.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Kernel leads four Dynamic World and two of four matched ArcGIS folds.</w:t>
      </w:r>
    </w:p>
    <w:p>
      <w:pPr>
        <w:pStyle w:val="Compact"/>
        <w:numPr>
          <w:ilvl w:val="0"/>
          <w:numId w:val="1001"/>
        </w:numPr>
      </w:pPr>
      <w:r>
        <w:t xml:space="preserve">Proposal–projection–writeback traces preserve allocation auditability.</w:t>
      </w:r>
    </w:p>
    <w:p>
      <w:pPr>
        <w:pStyle w:val="Compact"/>
        <w:numPr>
          <w:ilvl w:val="0"/>
          <w:numId w:val="1001"/>
        </w:numPr>
      </w:pPr>
      <w:r>
        <w:t xml:space="preserve">ArcGIS-served labels extend the scenario origin state to 2025.</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2026). Its Sentinel-2 classification lineage follows the deep-learning mapping approach described by Karra et al. (2021).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top-class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Monthly</w:t>
      </w:r>
      <w:r>
        <w:t xml:space="preserve"> </w:t>
      </w:r>
      <w:r>
        <w:rPr>
          <w:rStyle w:val="VerbatimChar"/>
        </w:rPr>
        <w:t xml:space="preserve">NOAA/VIIRS/DNB/MONTHLY_V1/VCMSLCFG</w:t>
      </w:r>
      <w:r>
        <w:t xml:space="preserve"> </w:t>
      </w:r>
      <w:r>
        <w:t xml:space="preserve">night-time-light radiance was averaged by year (Elvidge et al., 2021). The Copernicus DEM GLO-30</w:t>
      </w:r>
      <w:r>
        <w:t xml:space="preserve"> </w:t>
      </w:r>
      <w:r>
        <w:rPr>
          <w:rStyle w:val="VerbatimChar"/>
        </w:rPr>
        <w:t xml:space="preserve">COPERNICUS/DEM/GLO30_2024_1</w:t>
      </w:r>
      <w:r>
        <w:t xml:space="preserve"> </w:t>
      </w:r>
      <w:r>
        <w:t xml:space="preserve">collection supplied elevation and a finite-difference slope derivative (European Space Agency, 2024).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scikit-learn histogram gradient-boosting classifier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mean top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an archived source repository at an anonymized revision contains the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pPr>
      <w:r>
        <w:t xml:space="preserve">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planning conclusion was more stable than the historical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pPr>
      <w:r>
        <w:t xml:space="preserve">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1"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This information is shared by</w:t>
      </w:r>
      <w:r>
        <w:t xml:space="preserve"> </w:t>
      </w:r>
      <w:r>
        <w:t xml:space="preserve">all three pipelines and therefore does not change their ordering, but it can</w:t>
      </w:r>
      <w:r>
        <w:t xml:space="preserve"> </w:t>
      </w:r>
      <w:r>
        <w:t xml:space="preserve">affect absolute scores;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2024,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modified</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51"/>
    <w:bookmarkStart w:id="52"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2"/>
    <w:bookmarkStart w:id="53" w:name="data-availability"/>
    <w:p>
      <w:pPr>
        <w:pStyle w:val="Heading2"/>
      </w:pPr>
      <w:r>
        <w:t xml:space="preserve">Data availability</w:t>
      </w:r>
    </w:p>
    <w:p>
      <w:pPr>
        <w:pStyle w:val="FirstParagraph"/>
      </w:pPr>
      <w:r>
        <w:t xml:space="preserve">The public-data benchmark manifests, reports, generated delivery artefacts and source-data tables are available from an anonymized repository and archival package. Repository and archive identifiers are withheld during double-anonymized review and will be supplied in the accepted version. The package includes the Dynamic World and ArcGIS-served product-track reports, aligned public rasters, planning outputs, raster-cell transition footprints and integrity manifests. Authoritative Abu Dhabi land-use and independent reference data are not part of this study.</w:t>
      </w:r>
    </w:p>
    <w:bookmarkEnd w:id="53"/>
    <w:bookmarkStart w:id="54" w:name="code-availability"/>
    <w:p>
      <w:pPr>
        <w:pStyle w:val="Heading2"/>
      </w:pPr>
      <w:r>
        <w:t xml:space="preserve">Code availability</w:t>
      </w:r>
    </w:p>
    <w:p>
      <w:pPr>
        <w:pStyle w:val="FirstParagraph"/>
      </w:pPr>
      <w:r>
        <w:t xml:space="preserve">The analysis scripts, benchmark protocol, model runners, figure-generation code, model assets and integrity checks are maintained in the accompanying anonymized repository and archival package. Identifiers and contact details are withheld during double-anonymized review and will be supplied in the accepted version.</w:t>
      </w:r>
    </w:p>
    <w:bookmarkEnd w:id="54"/>
    <w:bookmarkStart w:id="55" w:name="declarations"/>
    <w:p>
      <w:pPr>
        <w:pStyle w:val="Heading2"/>
      </w:pPr>
      <w:r>
        <w:t xml:space="preserve">Declarations</w:t>
      </w:r>
    </w:p>
    <w:p>
      <w:pPr>
        <w:pStyle w:val="FirstParagraph"/>
      </w:pPr>
      <w:r>
        <w:t xml:space="preserve">Funding, competing interests, author contributions, acknowledgements and ethics information are supplied in the separate title page and submission metadata.</w:t>
      </w:r>
    </w:p>
    <w:bookmarkEnd w:id="55"/>
    <w:bookmarkStart w:id="56"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European Space Agency. (2024). Copernicus DEM GLO-30: global 30 m digital elevation model [Data set]. Google Earth Engine Data Catalog. https://developers.google.com/earth-engine/datasets/catalog/COPERNICUS_DEM_GLO30_2024_1</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(2026). Sentinel-2 10m land cover time series of the world [Data set]. ArcGIS ImageServer. https://ic.imagery1.arcgis.com/arcgis/rest/services/Sentinel2_10m_LandCover/ImageServer (accessed 8 September 2026).</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6"/>
    <w:bookmarkStart w:id="57" w:name="supplementary-information-outline"/>
    <w:p>
      <w:pPr>
        <w:pStyle w:val="Heading2"/>
      </w:pPr>
      <w:r>
        <w:t xml:space="preserve">Supplementary information outline</w:t>
      </w:r>
    </w:p>
    <w:p>
      <w:pPr>
        <w:pStyle w:val="Compact"/>
        <w:numPr>
          <w:ilvl w:val="0"/>
          <w:numId w:val="1002"/>
        </w:numPr>
      </w:pPr>
      <w:r>
        <w:rPr>
          <w:b/>
          <w:bCs/>
        </w:rPr>
        <w:t xml:space="preserve">Supplementary Note 1:</w:t>
      </w:r>
      <w:r>
        <w:t xml:space="preserve"> </w:t>
      </w:r>
      <w:r>
        <w:t xml:space="preserve">Complete data crosswalk, quality metrics and public/proxy status.</w:t>
      </w:r>
    </w:p>
    <w:p>
      <w:pPr>
        <w:pStyle w:val="Compact"/>
        <w:numPr>
          <w:ilvl w:val="0"/>
          <w:numId w:val="1002"/>
        </w:numPr>
      </w:pPr>
      <w:r>
        <w:rPr>
          <w:b/>
          <w:bCs/>
        </w:rPr>
        <w:t xml:space="preserve">Supplementary Note 2:</w:t>
      </w:r>
      <w:r>
        <w:t xml:space="preserve"> </w:t>
      </w:r>
      <w:r>
        <w:t xml:space="preserve">Kernel runtime schemas, audit fields and adapter boundary.</w:t>
      </w:r>
    </w:p>
    <w:p>
      <w:pPr>
        <w:pStyle w:val="Compact"/>
        <w:numPr>
          <w:ilvl w:val="0"/>
          <w:numId w:val="1002"/>
        </w:numPr>
      </w:pPr>
      <w:r>
        <w:rPr>
          <w:b/>
          <w:bCs/>
        </w:rPr>
        <w:t xml:space="preserve">Supplementary Table S1:</w:t>
      </w:r>
      <w:r>
        <w:t xml:space="preserve"> </w:t>
      </w:r>
      <w:r>
        <w:t xml:space="preserve">Full 2025–2031 model–scenario objective matrix with per-seed values.</w:t>
      </w:r>
    </w:p>
    <w:p>
      <w:pPr>
        <w:pStyle w:val="Compact"/>
        <w:numPr>
          <w:ilvl w:val="0"/>
          <w:numId w:val="1002"/>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2"/>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2"/>
        </w:numPr>
      </w:pPr>
      <w:r>
        <w:rPr>
          <w:b/>
          <w:bCs/>
        </w:rPr>
        <w:t xml:space="preserve">Supplementary Table S4:</w:t>
      </w:r>
      <w:r>
        <w:t xml:space="preserve"> </w:t>
      </w:r>
      <w:r>
        <w:t xml:space="preserve">Raster and vector delivery audit, hashes and layer counts.</w:t>
      </w:r>
    </w:p>
    <w:p>
      <w:pPr>
        <w:pStyle w:val="Compact"/>
        <w:numPr>
          <w:ilvl w:val="0"/>
          <w:numId w:val="1002"/>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2"/>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2"/>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2"/>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2"/>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2"/>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annual land-cover product uncertainty</dc:title>
  <dc:creator/>
  <cp:keywords/>
  <dcterms:created xsi:type="dcterms:W3CDTF">2026-09-10T11:31:53Z</dcterms:created>
  <dcterms:modified xsi:type="dcterms:W3CDTF">2026-09-10T11:31:53Z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