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Title"/>
      </w:pPr>
      <w:r>
        <w:t>Auditing constrained geospatial allocation under annual land-cover product uncertainty</w:t>
      </w:r>
    </w:p>
    <w:p>
      <w:pPr>
        <w:pStyle w:val="Subtitle"/>
      </w:pPr>
      <w:r>
        <w:t>Ning Zhou</w:t>
        <w:br/>
        <w:t>Beijing Freedo Technology Co., Ltd.</w:t>
        <w:br/>
        <w:t>Corresponding author: zhouning@freedotech.com</w:t>
      </w:r>
    </w:p>
    <w:p>
      <w:pPr>
        <w:pStyle w:val="Heading2"/>
      </w:pPr>
      <w:r>
        <w:t xml:space="preserve">Abstract</w:t>
      </w:r>
    </w:p>
    <w:p>
      <w:pPr>
        <w:pStyle w:val="FirstParagraph"/>
      </w:pPr>
      <w:r>
        <w:t xml:space="preserve">Public land-cover products are increasingly used where authoritative local time series are unavailable, but product choice can alter both apparent urban change and model rankings. We present an auditable protocol for constrained spatial allocation using Geospatial Kernel, the algorithmic core of a Geospatial World Model, as the focal execution layer. Two annual 10-m products for Abu Dhabi city, Google Dynamic World (2017–2024) and an ArcGIS-served Impact Observatory/Microsoft/Esri series (2017–2025), were harmonized to the same 100-m, six-class modelling contract. Leakage-controlled expanding-window tests compared a FLUS-style ANN–CA, Geospatial Kernel, GeoFM-LDN, persistence and random minimum-change allocation using three seeds and 1,000 spatial-block bootstrap resamples. The target year supplied oracle class totals and evaluation labels only. In 2024, the ArcGIS-served series mapped 335.57 km² as built versus 155.98 km² in Dynamic World; built-class intersection over union was 0.449. Kernel had the highest mean FoM in four Dynamic World targets and two matched ArcGIS-served targets; these numerical ranks did not uniformly imply paired-interval separation. Net-change allocation imposed product-specific count-only FoM upper bounds of 0.086–0.813 in the ArcGIS folds. Kernel’s ArcGIS-minus-Dynamic World strict change Figure of Merit ranged from -0.244 to +0.205. Yet the product-specific 2031 planning frontiers retained FLUS-style and Kernel candidates in all three scenarios. The results support an inspectable proposal–projection–writeback boundary while showing that comparative skill is label-product dependent. Neither product is authoritative local land-use truth, model outputs remain 100 m, and the 2026–2031 maps are conditional stress tests rather than official forecasts.</w:t>
      </w:r>
    </w:p>
    <w:bookmarkEnd w:id="9"/>
    <w:bookmarkStart w:id="10" w:name="highlights"/>
    <w:p>
      <w:pPr>
        <w:pStyle w:val="Heading2"/>
      </w:pPr>
      <w:r>
        <w:t xml:space="preserve">Highlights</w:t>
      </w:r>
    </w:p>
    <w:p>
      <w:pPr>
        <w:pStyle w:val="Compact"/>
        <w:numPr>
          <w:ilvl w:val="0"/>
          <w:numId w:val="1001"/>
        </w:numPr>
      </w:pPr>
      <w:r>
        <w:t xml:space="preserve">Cross-product backtests expose label dependence in model rankings.</w:t>
      </w:r>
    </w:p>
    <w:p>
      <w:pPr>
        <w:pStyle w:val="Compact"/>
        <w:numPr>
          <w:ilvl w:val="0"/>
          <w:numId w:val="1001"/>
        </w:numPr>
      </w:pPr>
      <w:r>
        <w:t xml:space="preserve">Numerical rankings depend on product and conditional paired uncertainty.</w:t>
      </w:r>
    </w:p>
    <w:p>
      <w:pPr>
        <w:pStyle w:val="Compact"/>
        <w:numPr>
          <w:ilvl w:val="0"/>
          <w:numId w:val="1001"/>
        </w:numPr>
      </w:pPr>
      <w:r>
        <w:t xml:space="preserve">Proposal–projection–writeback traces preserve allocation auditability.</w:t>
      </w:r>
    </w:p>
    <w:p>
      <w:pPr>
        <w:pStyle w:val="Compact"/>
        <w:numPr>
          <w:ilvl w:val="0"/>
          <w:numId w:val="1001"/>
        </w:numPr>
      </w:pPr>
      <w:r>
        <w:t xml:space="preserve">Net-change allocation restricts the attainable change-detection score.</w:t>
      </w:r>
    </w:p>
    <w:p>
      <w:pPr>
        <w:pStyle w:val="Compact"/>
        <w:numPr>
          <w:ilvl w:val="0"/>
          <w:numId w:val="1001"/>
        </w:numPr>
      </w:pPr>
      <w:r>
        <w:t xml:space="preserve">The 2026–2031 maps remain 100-m stress tests, not statutory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annual class-count actions, hard exclusions and evaluator. The historical track uses observed target counts to isolate spatial allocation skill from demand error. A matched protocol is run separately on Dynamic World and on an ArcGIS-served annual product so that dependence on the complete label-product pipeline is visible. The original planning track starts from the 2024 Dynamic World state; the refreshed track starts from the 2025 ArcGIS-served state. Both apply three planner-supplied actions: moderate growth, green-priority growth and high outward growth. Abu Dhabi Plan 2030 provides an institutional planning context for discussing urban structure, but the numerical actions are not calibrated to that plan or to an official population forecast (Abu Dhabi Urban Planning Council, 2007). We ask four questions: whether the Kernel execution contract is auditable, whether its allocation skill is competitive, whether comparative conclusions survive a change of land-cover product and whether the candidates produce feasible, spatially distinct scenario allocations.</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combines expanding-window temporal tests, zero-model controls, spatial bootstrap contrasts and a whole-product-pipeline replication rather than relying on one favourable split.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(OpenStreetMap contributors, 2026).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original Dynamic World sequence contains annual states for 2017–2024. Models were fit using the four transitions 2017→2018, 2018→2019, 2019→2020 and 2020→2021. A 2021→2022 transition was used for validation during model development. The original historical test starts from 2022 and evaluates 2023 and 2024 in an open-loop rollout without observed-state writeback. Its planning test starts from the observed 2024 state and recursively generates 2025–2031. The refreshed product track adds a separate annual sequence for 2017–2025, starts planning from its observed 2025 state and generates 2026–2031.</w:t>
      </w:r>
    </w:p>
    <w:p>
      <w:pPr>
        <w:pStyle w:val="BodyText"/>
      </w:pPr>
      <w:r>
        <w:t xml:space="preserve">The leakage-controlled analysis used expanding one-step windows with origins in 2020–2023 for both products and an additional 2024 origin for the ArcGIS-served series. For origin year</w:t>
      </w:r>
      <w:r>
        <w:t xml:space="preserve"> </w:t>
      </w:r>
      <m:oMath>
        <m:r>
          <m:t>t</m:t>
        </m:r>
      </m:oMath>
      <w:r>
        <w:t xml:space="preserve">, training included only observations available at or before</w:t>
      </w:r>
      <w:r>
        <w:t xml:space="preserve"> </w:t>
      </w:r>
      <m:oMath>
        <m:r>
          <m:t>t</m:t>
        </m:r>
      </m:oMath>
      <w:r>
        <w:t xml:space="preserve">; the held-out</w:t>
      </w:r>
      <w:r>
        <w:t xml:space="preserve"> </w:t>
      </w:r>
      <m:oMath>
        <m:r>
          <m:t>t</m:t>
        </m:r>
        <m:r>
          <m:rPr>
            <m:sty m:val="p"/>
          </m:rPr>
          <m:t>+</m:t>
        </m:r>
        <m:r>
          <m:t>1</m:t>
        </m:r>
      </m:oMath>
      <w:r>
        <w:t xml:space="preserve"> </w:t>
      </w:r>
      <w:r>
        <w:t xml:space="preserve">label was prohibited from feature construction, model fitting and GeoFM-LDN epoch selection. The target supplied only observed class totals for oracle allocation, evaluation labels and the common-coverage mask. This design isolates spatial allocation conditional on known demand and is not an end-to-end demand forecast. Each fold locked origin-year water and wetland cells and omitted the two road-distance features, because the available OpenStreetMap snapshot was accessed in 2026. Kernel consequently used 23 features and the FLUS-style track used the remaining five continuous drivers. A machine-tested temporal firewall records permitted target-year uses for every model, seed and fold. The two product tracks match the boundary, 100-m grid, model implementations, seeds, target-year protocol, oracle-action rule, evaluator and 1,000-resample 8 × 8-cell spatial bootstrap. Annual labels, origin states, oracle totals, origin water/wetland masks and quality semantics remain product specific; the experiment therefore tests the complete public-product pipelines rather than an isolated label substitution. The original 2023–2024 headline comparison is less strict because it uses the later road snapshot and remains a secondary unmatched-pipeline result.</w:t>
      </w:r>
    </w:p>
    <w:bookmarkEnd w:id="14"/>
    <w:bookmarkStart w:id="15" w:name="public-data-and-class-semantics"/>
    <w:p>
      <w:pPr>
        <w:pStyle w:val="Heading3"/>
      </w:pPr>
      <w:r>
        <w:t xml:space="preserve">Public data and class semantics</w:t>
      </w:r>
    </w:p>
    <w:p>
      <w:pPr>
        <w:pStyle w:val="FirstParagraph"/>
      </w:pPr>
      <w: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w:t>
      </w:r>
    </w:p>
    <w:p>
      <w:pPr>
        <w:pStyle w:val="BodyText"/>
      </w:pPr>
      <w:r>
        <w:t xml:space="preserve">The second sequence was materialized from the public ArcGIS ImageServer</w:t>
      </w:r>
      <w:r>
        <w:t xml:space="preserve"> </w:t>
      </w:r>
      <w:r>
        <w:rPr>
          <w:rStyle w:val="VerbatimChar"/>
        </w:rPr>
        <w:t xml:space="preserve">Sentinel2_10m_LandCover</w:t>
      </w:r>
      <w:r>
        <w:t xml:space="preserve">, whose metadata attributes the global annual series to Impact Observatory, Microsoft and Esri (Impact Observatory et al., 2026). Its Sentinel-2 classification lineage follows the deep-learning mapping approach described by Karra et al. (2021). Source values were mapped to water (1), woody vegetation (2), wetland (4), low vegetation (5 and 11), built (7) and bare (8); snow/ice (9) and cloud (10) were excluded. Native 10-m labels were retained for audit, then aggregated after crosswalking by majority among usable cells in each 10 × 10 block. The resulting majority fraction served as the ArcGIS-track aggregation-quality term; it is not equivalent to Dynamic World’s top-class probability. Both sequences are explicitly treated as public land cover. Neither provides residential, commercial or industrial land use, zoning, cadastral status or development approvals.</w:t>
      </w:r>
    </w:p>
    <w:p>
      <w:pPr>
        <w:pStyle w:val="BodyText"/>
      </w:pPr>
      <w:r>
        <w:t xml:space="preserve">Annual 64-dimensional AlphaEarth embeddings were spatially averaged to the canonical grid and locally L2-normalized (Brown et al., 2025). Monthly</w:t>
      </w:r>
      <w:r>
        <w:t xml:space="preserve"> </w:t>
      </w:r>
      <w:r>
        <w:rPr>
          <w:rStyle w:val="VerbatimChar"/>
        </w:rPr>
        <w:t xml:space="preserve">NOAA/VIIRS/DNB/MONTHLY_V1/VCMSLCFG</w:t>
      </w:r>
      <w:r>
        <w:t xml:space="preserve"> </w:t>
      </w:r>
      <w:r>
        <w:t xml:space="preserve">night-time-light radiance was averaged by year (Elvidge et al., 2021). The Copernicus DEM GLO-30</w:t>
      </w:r>
      <w:r>
        <w:t xml:space="preserve"> </w:t>
      </w:r>
      <w:r>
        <w:rPr>
          <w:rStyle w:val="VerbatimChar"/>
        </w:rPr>
        <w:t xml:space="preserve">COPERNICUS/DEM/GLO30_2024_1</w:t>
      </w:r>
      <w:r>
        <w:t xml:space="preserve"> </w:t>
      </w:r>
      <w:r>
        <w:t xml:space="preserve">collection supplied elevation and a finite-difference slope derivative (European Space Agency, 2024).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p>
      <w:pPr>
        <w:pStyle w:val="BodyText"/>
      </w:pPr>
      <w:r>
        <w:t xml:space="preserve">For an external public-product diagnostic, the ESA WorldCover 2020 v1.0 and 2021 v2.0 built-up class (value 50) was converted to built fraction on each 100-m benchmark cell (Zanaga et al., 2021, 2022). Built presence was tested at fractions of 0.05, 0.10, 0.20 and 0.30. Built gain required a cell to cross from below to at or above the threshold; built loss used the reverse definition. Binary precision, recall, F1 and intersection over union were calculated for the Dynamic World transition and for the 2020-origin predictions. The original oracle-demand comparison uses Dynamic World 2021 built counts; because the built count decreases in this window, it cannot allocate any built gains and is a structural-zero, zero-power test of gain location. We therefore also supplied the WorldCover built-gain count as the action, ranked candidate cells with the 2020-origin Kernel proposal, and compared it with random allocation from the same candidate population. This count-controlled variant is the informative allocation diagnostic, but it remains product agreement rather than ground-truth validation: the two WorldCover years use different product versions, WorldCover and Dynamic World both derive from Sentinel observations, and neither represents statutory Abu Dhabi land use.</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scikit-learn histogram gradient-boosting classifier estimates the six-class probability vector (Pedregosa et al., 2011).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quality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Here</w:t>
      </w:r>
      <w:r>
        <w:t xml:space="preserve"> </w:t>
      </w:r>
      <m:oMath>
        <m:r>
          <m:t>r</m:t>
        </m:r>
      </m:oMath>
      <w:r>
        <w:t xml:space="preserve"> </w:t>
      </w:r>
      <w:r>
        <w:t xml:space="preserve">is Dynamic World mean top probability in the original track and the within-block majority fraction in the ArcGIS-served track. These terms have different semantics and are retained as parts of their respective product pipelines. A held-out target is never used during fitting or model selection.</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This projection is a minimum-change allocator. Let</w:t>
      </w:r>
      <w:r>
        <w:t xml:space="preserve"> </w:t>
      </w:r>
      <m:oMath>
        <m:sSub>
          <m:e>
            <m:r>
              <m:t>n</m:t>
            </m:r>
          </m:e>
          <m:sub>
            <m:r>
              <m:t>c</m:t>
            </m:r>
          </m:sub>
        </m:sSub>
      </m:oMath>
      <w:r>
        <w:t xml:space="preserve"> </w:t>
      </w:r>
      <w:r>
        <w:t xml:space="preserve">and</w:t>
      </w:r>
      <w:r>
        <w:t xml:space="preserve"> </w:t>
      </w:r>
      <m:oMath>
        <m:sSub>
          <m:e>
            <m:r>
              <m:t>a</m:t>
            </m:r>
          </m:e>
          <m:sub>
            <m:r>
              <m:t>c</m:t>
            </m:r>
          </m:sub>
        </m:sSub>
      </m:oMath>
      <w:r>
        <w:t xml:space="preserve"> </w:t>
      </w:r>
      <w:r>
        <w:t xml:space="preserve">be origin and feasible target counts. The number of changed cells is exactly</w:t>
      </w:r>
      <w:r>
        <w:t xml:space="preserve"> </w:t>
      </w:r>
      <m:oMath>
        <m:r>
          <m:t>M</m:t>
        </m:r>
        <m:r>
          <m:rPr>
            <m:sty m:val="p"/>
          </m:rPr>
          <m:t>=</m:t>
        </m:r>
        <m:f>
          <m:fPr>
            <m:type m:val="bar"/>
          </m:fPr>
          <m:num>
            <m:r>
              <m:t>1</m:t>
            </m:r>
          </m:num>
          <m:den>
            <m:r>
              <m:t>2</m:t>
            </m:r>
          </m:den>
        </m:f>
        <m:nary>
          <m:naryPr>
            <m:chr m:val="∑"/>
            <m:limLoc m:val="undOvr"/>
            <m:subHide m:val="off"/>
            <m:supHide m:val="on"/>
          </m:naryPr>
          <m:sub>
            <m:r>
              <m:t>c</m:t>
            </m:r>
          </m:sub>
          <m:sup>
            <m:r>
              <m:t>​</m:t>
            </m:r>
          </m:sup>
          <m:e>
            <m:r>
              <m:rPr>
                <m:sty m:val="p"/>
              </m:rPr>
              <m:t>|</m:t>
            </m:r>
          </m:e>
        </m:nary>
        <m:sSub>
          <m:e>
            <m:r>
              <m:t>a</m:t>
            </m:r>
          </m:e>
          <m:sub>
            <m:r>
              <m:t>c</m:t>
            </m:r>
          </m:sub>
        </m:sSub>
        <m:r>
          <m:rPr>
            <m:sty m:val="p"/>
          </m:rPr>
          <m:t>−</m:t>
        </m:r>
        <m:sSub>
          <m:e>
            <m:r>
              <m:t>n</m:t>
            </m:r>
          </m:e>
          <m:sub>
            <m:r>
              <m:t>c</m:t>
            </m:r>
          </m:sub>
        </m:sSub>
        <m:r>
          <m:rPr>
            <m:sty m:val="p"/>
          </m:rPr>
          <m:t>|</m:t>
        </m:r>
      </m:oMath>
      <w:r>
        <w:t xml:space="preserve">. A class can supply cells or receive cells in one step, but cannot do both; unchanged class totals therefore suppress within-class gross gain/loss exchanges. This is a substantive restriction on land-cover dynamics, shared by GeoFM-LDN through its use of the same allocator, rather than a consequence of exact-count constraints in general. With</w:t>
      </w:r>
      <w:r>
        <w:t xml:space="preserve"> </w:t>
      </w:r>
      <m:oMath>
        <m:r>
          <m:t>O</m:t>
        </m:r>
      </m:oMath>
      <w:r>
        <w:t xml:space="preserve"> </w:t>
      </w:r>
      <w:r>
        <w:t xml:space="preserve">observed changed cells, strict FoM is bounded above by</w:t>
      </w:r>
      <w:r>
        <w:t xml:space="preserve"> </w:t>
      </w:r>
      <m:oMath>
        <m:r>
          <m:rPr>
            <m:sty m:val="p"/>
          </m:rPr>
          <m:t>min</m:t>
        </m:r>
        <m:r>
          <m:rPr>
            <m:sty m:val="p"/>
          </m:rPr>
          <m:t>(</m:t>
        </m:r>
        <m:r>
          <m:t>M</m:t>
        </m:r>
        <m:r>
          <m:rPr>
            <m:sty m:val="p"/>
          </m:rPr>
          <m:t>,</m:t>
        </m:r>
        <m:r>
          <m:t>O</m:t>
        </m:r>
        <m:r>
          <m:rPr>
            <m:sty m:val="p"/>
          </m:rPr>
          <m:t>)</m:t>
        </m:r>
        <m:r>
          <m:rPr>
            <m:sty m:val="p"/>
          </m:rPr>
          <m:t>/</m:t>
        </m:r>
        <m:r>
          <m:rPr>
            <m:sty m:val="p"/>
          </m:rPr>
          <m:t>max</m:t>
        </m:r>
        <m:r>
          <m:rPr>
            <m:sty m:val="p"/>
          </m:rPr>
          <m:t>(</m:t>
        </m:r>
        <m:r>
          <m:t>M</m:t>
        </m:r>
        <m:r>
          <m:rPr>
            <m:sty m:val="p"/>
          </m:rPr>
          <m:t>,</m:t>
        </m:r>
        <m:r>
          <m:t>O</m:t>
        </m:r>
        <m:r>
          <m:rPr>
            <m:sty m:val="p"/>
          </m:rPr>
          <m:t>)</m:t>
        </m:r>
      </m:oMath>
      <w:r>
        <w:t xml:space="preserve"> </w:t>
      </w:r>
      <w:r>
        <w:t xml:space="preserve">when the denominator is nonzero. This is a loose count-only bound, not an attainable optimum: destination classes, hard masks and spatial restrictions can further reduce attainable hits. Supplementary Table S7 derives the bound from the frozen fold reports and checks predicted moves against origin and feasible target counts. We do not divide observed FoM by this bound or interpret such a ratio as independently validated skill.</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(author-modified build;</w:t>
      </w:r>
      <w:r>
        <w:t xml:space="preserve"> </w:t>
      </w:r>
      <w:r>
        <w:rPr>
          <w:rStyle w:val="VerbatimChar"/>
        </w:rPr>
        <w:t xml:space="preserve">paper-benchmark-flus-v1.1</w:t>
      </w:r>
      <w:r>
        <w:t xml:space="preserv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GeoSOS team, n.d.); the accompanying source repository</w:t>
      </w:r>
      <w:r>
        <w:t xml:space="preserve"> </w:t>
      </w:r>
      <w:r>
        <w:rPr>
          <w:rStyle w:val="VerbatimChar"/>
        </w:rPr>
        <w:t xml:space="preserve">FLUS_console_crossplatform</w:t>
      </w:r>
      <w:r>
        <w:t xml:space="preserve"> </w:t>
      </w:r>
      <w:r>
        <w:t xml:space="preserve">at commit</w:t>
      </w:r>
      <w:r>
        <w:t xml:space="preserve"> </w:t>
      </w:r>
      <w:r>
        <w:rPr>
          <w:rStyle w:val="VerbatimChar"/>
        </w:rPr>
        <w:t xml:space="preserve">47e65b3</w:t>
      </w:r>
      <w:r>
        <w:t xml:space="preserve"> </w:t>
      </w:r>
      <w:r>
        <w:t xml:space="preserve">contains the author modifications used for this paper. Those modifications add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deterministic seeding for both ANN sampling and CA roulette draws, so the build is not the unmodified upstream executable. Version v1.1 changes only failure handling for invalid input reads; valid-input algorithmic paths and benchmark rasters are unchanged from v1.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independent external Windows x86_64 verification runs; the remaining macOS seed-31 run is not used as a valid estimator. The external evidence is identified in Supplementary Table S3; its source rasters are not locally archived.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For the cross-product backtest, the FLUS-style suitability fit expanded from 2017 through the origin year, the Kernel transition fit ended at the origin, and GeoFM-LDN used only pre-origin label years for its decoder, pre-selection transitions for network fitting and the transition ending at the origin for epoch selection. All GeoFM-LDN folds were retrained for eight epochs at each seed rather than loading the original fixed checkpoints. The three learned candidates were evaluated alongside persistence and an exact-count random minimum-change allocator. Kernel, GeoFM-LDN and random allocation met feasible oracle class totals exactly; the finite-iteration FLUS-style CA retained any unmet demand as normalized demand total variation rather than receiving a post-hoc raster correction.</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 product-specific scenario manifests; the legacy</w:t>
      </w:r>
      <w:r>
        <w:t xml:space="preserve"> </w:t>
      </w:r>
      <w:r>
        <w:rPr>
          <w:rStyle w:val="VerbatimChar"/>
        </w:rPr>
        <w:t xml:space="preserve">compact</w:t>
      </w:r>
      <w:r>
        <w:t xml:space="preserve"> </w:t>
      </w:r>
      <w:r>
        <w:t xml:space="preserve">path identifier is retained only for artifact compatibility. It is not an endorsement of compact-city outcomes, which can have distributional trade-offs (Burton, 2000). Dynamic World-origin actions cover 2025–2031 and ArcGIS-origin actions cover 2026–2031. Their totals are explicit extensions of the preceding annual difference and are not derived from an official population, housing or infrastructure forecast. Future exogenous rasters are held at their respective final observed-year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green-priority label denotes a vegetation-quantity sensitivity action, not demonstrated ecological sustainability. The primary Pareto comparison is within each scenario, contrasting the three models under the same product-specific action; cross-product frontier membership is a sensitivity test, not a forecast-accuracy comparison. The current release objective set is road access, prior-built distance and union-built component density. Ecological conversion is reported as a diagnostic rather than a Pareto objective because it is structurally zero for the exact-count Kernel and GeoFM-LDN allocations. We treat this as a release objective set rather than a prespecified planning preference, and treat its variants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origin raster are extracted as changed 100-m cells and dissolved into GeoPackage layers. The Dynamic World-origin delivery manifest covers 45 ensemble rasters for 2027–2031 and nine vector packages. The ArcGIS-origin delivery contains 54 ensemble rasters for 2026–2031, nine multilayer GeoPackages and matching Shapefiles; a separate native-10-m GeoPackage records observed 2024→2025 product change. The audit scripts fail on missing source rasters, reports or vectors. Historical predictions and bootstrap reports for both product tracks retain per-file hashes and temporal-firewall declarations. The vector layers preserve raster-cell geometry and should not be interpreted as cadastral parcels.</w:t>
      </w:r>
    </w:p>
    <w:bookmarkEnd w:id="20"/>
    <w:bookmarkEnd w:id="21"/>
    <w:bookmarkStart w:id="50" w:name="results"/>
    <w:p>
      <w:pPr>
        <w:pStyle w:val="Heading2"/>
      </w:pPr>
      <w:r>
        <w:t xml:space="preserve">Results</w:t>
      </w:r>
    </w:p>
    <w:bookmarkStart w:id="25"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The original Dynamic World evaluation mask contains 79,726 cells and the ArcGIS-served track contains 79,775 cells before target-specific common-coverage checks. Each cell represents 1 ha. Both annual sequences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author-modified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w:t>
      </w:r>
      <w:r>
        <w:t xml:space="preserve"> </w:t>
      </w:r>
      <w:r>
        <w:rPr>
          <w:rStyle w:val="VerbatimChar"/>
        </w:rPr>
        <w:t xml:space="preserve">FLUS_console_crossplatform</w:t>
      </w:r>
      <w:r>
        <w:t xml:space="preserve"> </w:t>
      </w:r>
      <w:r>
        <w:t xml:space="preserve">commit</w:t>
      </w:r>
      <w:r>
        <w:t xml:space="preserve"> </w:t>
      </w:r>
      <w:r>
        <w:rPr>
          <w:rStyle w:val="VerbatimChar"/>
        </w:rPr>
        <w:t xml:space="preserve">deb0a54</w:t>
      </w:r>
      <w:r>
        <w:t xml:space="preserve">.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p>
      <w:pPr>
        <w:pStyle w:val="CaptionedFigure"/>
        <w:keepNext/>
      </w:pPr>
      <w:r>
        <w:drawing>
          <wp:inline>
            <wp:extent cx="5334000" cy="3546609"/>
            <wp:effectExtent b="0" l="0" r="0" t="0"/>
            <wp:docPr descr="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 title="" id="23" name="Picture"/>
            <a:graphic>
              <a:graphicData uri="http://schemas.openxmlformats.org/drawingml/2006/picture">
                <pic:pic>
                  <pic:nvPicPr>
                    <pic:cNvPr descr="figures/fig01_benchmark_contract.png" id="24" name="Picture"/>
                    <pic:cNvPicPr>
                      <a:picLocks noChangeArrowheads="1" noChangeAspect="1"/>
                    </pic:cNvPicPr>
                  </pic:nvPicPr>
                  <pic:blipFill>
                    <a:blip r:embed="rId22"/>
                    <a:stretch>
                      <a:fillRect/>
                    </a:stretch>
                  </pic:blipFill>
                  <pic:spPr bwMode="auto">
                    <a:xfrm>
                      <a:off x="0" y="0"/>
                      <a:ext cx="5334000" cy="3546609"/>
                    </a:xfrm>
                    <a:prstGeom prst="rect">
                      <a:avLst/>
                    </a:prstGeom>
                    <a:noFill/>
                    <a:ln w="9525">
                      <a:noFill/>
                      <a:headEnd/>
                      <a:tailEnd/>
                    </a:ln>
                  </pic:spPr>
                </pic:pic>
              </a:graphicData>
            </a:graphic>
          </wp:inline>
        </w:drawing>
      </w:r>
    </w:p>
    <w:p>
      <w:pPr>
        <w:pStyle w:val="ImageCaption"/>
        <w:keepLines/>
      </w:pPr>
      <w:r>
        <w:t>Figure 1. 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w:t>
      </w:r>
    </w:p>
    <w:bookmarkEnd w:id="25"/>
    <w:bookmarkStart w:id="29" w:name="X3f5e228b10c7eb77c564f813ab2c4e4911c7a74"/>
    <w:p>
      <w:pPr>
        <w:pStyle w:val="Heading3"/>
      </w:pPr>
      <w:r>
        <w:t xml:space="preserve">Secondary historical benchmark and planning objective definitions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original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Historical strict destination-change FoM.</w:t>
      </w:r>
      <w:r>
        <w:t xml:space="preserve"> </w:t>
      </w:r>
      <w:r>
        <w:t xml:space="preserve">Values are means across</w:t>
      </w:r>
      <w:r>
        <w:t xml:space="preserve"> </w:t>
      </w:r>
      <w:r>
        <w:t xml:space="preserve">three frozen computational seeds. The 25-feature FLUS run is excluded because</w:t>
      </w:r>
      <w:r>
        <w:t xml:space="preserve"> </w:t>
      </w:r>
      <w:r>
        <w:t xml:space="preserve">it is not a comparable estimator: five of six platform–seed runs collapsed to</w:t>
      </w:r>
      <w:r>
        <w:t xml:space="preserve"> </w:t>
      </w:r>
      <w:r>
        <w:t xml:space="preserve">zero change. Persistence (0.0000 in both years) and random minimum-change</w:t>
      </w:r>
      <w:r>
        <w:t xml:space="preserve"> </w:t>
      </w:r>
      <w:r>
        <w:t xml:space="preserve">allocation (0.0253 in 2023; 0.0605 in 2024) are explicit zero-model controls</w:t>
      </w:r>
      <w:r>
        <w:t xml:space="preserve"> </w:t>
      </w:r>
      <w:r>
        <w:t xml:space="preserve">and are plotted in Fig.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Target year</w:t>
            </w:r>
          </w:p>
        </w:tc>
        <w:tc>
          <w:tcPr/>
          <w:p>
            <w:pPr>
              <w:pStyle w:val="Compact"/>
              <w:jc w:val="right"/>
            </w:pPr>
            <w:r>
              <w:t xml:space="preserve">FLUS-style ANN-CA</w:t>
            </w:r>
          </w:p>
        </w:tc>
        <w:tc>
          <w:tcPr/>
          <w:p>
            <w:pPr>
              <w:pStyle w:val="Compact"/>
              <w:jc w:val="right"/>
            </w:pPr>
            <w:r>
              <w:t xml:space="preserve">Geospatial Kernel</w:t>
            </w:r>
          </w:p>
        </w:tc>
        <w:tc>
          <w:tcPr/>
          <w:p>
            <w:pPr>
              <w:pStyle w:val="Compact"/>
              <w:jc w:val="right"/>
            </w:pPr>
            <w:r>
              <w:t xml:space="preserve">GeoFM-LDN</w:t>
            </w:r>
          </w:p>
        </w:tc>
      </w:tr>
      <w:tr>
        <w:tc>
          <w:tcPr/>
          <w:p>
            <w:pPr>
              <w:pStyle w:val="Compact"/>
              <w:jc w:val="left"/>
            </w:pPr>
            <w:r>
              <w:t xml:space="preserve">2023 (one-step)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r>
      <w:tr>
        <w:tc>
          <w:tcPr/>
          <w:p>
            <w:pPr>
              <w:pStyle w:val="Compact"/>
              <w:jc w:val="left"/>
            </w:pPr>
            <w:r>
              <w:t xml:space="preserve">2024 (two-step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CaptionedFigure"/>
        <w:keepNext/>
      </w:pPr>
      <w:r>
        <w:drawing>
          <wp:inline>
            <wp:extent cx="5334000" cy="2501067"/>
            <wp:effectExtent b="0" l="0" r="0" t="0"/>
            <wp:docPr descr="Historical allocation skill. Strict destination-change FoM is the primary metric; change F1 is shown as a secondary diagnostic. Bars show mean plus or minus population standard deviation across the three frozen seeds. Persistence and random allocation are explicit zero-model controls." title="" id="27" name="Picture"/>
            <a:graphic>
              <a:graphicData uri="http://schemas.openxmlformats.org/drawingml/2006/picture">
                <pic:pic>
                  <pic:nvPicPr>
                    <pic:cNvPr descr="figures/fig02_historical_validation.png" id="28" name="Picture"/>
                    <pic:cNvPicPr>
                      <a:picLocks noChangeArrowheads="1" noChangeAspect="1"/>
                    </pic:cNvPicPr>
                  </pic:nvPicPr>
                  <pic:blipFill>
                    <a:blip r:embed="rId26"/>
                    <a:stretch>
                      <a:fillRect/>
                    </a:stretch>
                  </pic:blipFill>
                  <pic:spPr bwMode="auto">
                    <a:xfrm>
                      <a:off x="0" y="0"/>
                      <a:ext cx="5334000" cy="2501067"/>
                    </a:xfrm>
                    <a:prstGeom prst="rect">
                      <a:avLst/>
                    </a:prstGeom>
                    <a:noFill/>
                    <a:ln w="9525">
                      <a:noFill/>
                      <a:headEnd/>
                      <a:tailEnd/>
                    </a:ln>
                  </pic:spPr>
                </pic:pic>
              </a:graphicData>
            </a:graphic>
          </wp:inline>
        </w:drawing>
      </w:r>
    </w:p>
    <w:p>
      <w:pPr>
        <w:pStyle w:val="ImageCaption"/>
        <w:keepLines/>
      </w:pPr>
      <w:r>
        <w:t>Figure 2. Historical allocation skill. Strict destination-change FoM is the primary metric; change F1 is shown as a secondary diagnostic. Bars show mean plus or minus population standard deviation across the three frozen seeds. Persistence and random allocation are explicit zero-model controls.</w:t>
      </w:r>
    </w:p>
    <w:p>
      <w:pPr>
        <w:pStyle w:val="BodyText"/>
      </w:pPr>
      <w:r>
        <w:t xml:space="preserve">An additional FLUS input-dimension analysis was also completed. The</w:t>
      </w:r>
      <w:r>
        <w:t xml:space="preserve"> </w:t>
      </w:r>
      <w:r>
        <w:t xml:space="preserve">25-feature run is not a valid point estimator: macOS seeds 47 and 73 and all</w:t>
      </w:r>
      <w:r>
        <w:t xml:space="preserve"> </w:t>
      </w:r>
      <w:r>
        <w:t xml:space="preserve">three independent external Windows x86_64 verification runs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confidence sensitivity is a label-quality and selection-effect diagnostic,</w:t>
      </w:r>
      <w:r>
        <w:t xml:space="preserve"> </w:t>
      </w:r>
      <w:r>
        <w:t xml:space="preserve">not an independent validation set or a model-skill test. Requiring both the</w:t>
      </w:r>
      <w:r>
        <w:t xml:space="preserve"> </w:t>
      </w:r>
      <w:r>
        <w:t xml:space="preserve">origin and target Dynamic World mean top probability to exceed 0.5 retains only</w:t>
      </w:r>
      <w:r>
        <w:t xml:space="preserve"> </w:t>
      </w:r>
      <w:r>
        <w:t xml:space="preserve">25 of 4,500 observed changes (0.56%) in 2023 and 56 of 8,464 (0.66%) in 2024.</w:t>
      </w:r>
      <w:r>
        <w:t xml:space="preserve"> </w:t>
      </w:r>
      <w:r>
        <w:t xml:space="preserve">Strict FoM is 0.000 for all three models in 2023; in 2024 the means are 0.0040</w:t>
      </w:r>
      <w:r>
        <w:t xml:space="preserve"> </w:t>
      </w:r>
      <w:r>
        <w:t xml:space="preserve">for the FLUS-style console, 0.0055 for Geospatial Kernel and 0.0188 for</w:t>
      </w:r>
      <w:r>
        <w:t xml:space="preserve"> </w:t>
      </w:r>
      <w:r>
        <w:t xml:space="preserve">GeoFM-LDN. Screening only the confidence of the year immediately preceding the</w:t>
      </w:r>
      <w:r>
        <w:t xml:space="preserve"> </w:t>
      </w:r>
      <w:r>
        <w:t xml:space="preserve">target avoids filtering on target-year confidence, but still retains only 129</w:t>
      </w:r>
      <w:r>
        <w:t xml:space="preserve"> </w:t>
      </w:r>
      <w:r>
        <w:t xml:space="preserve">(2.87%) and 93 (1.10%) observed changes in 2023 and 2024, respectively. Its</w:t>
      </w:r>
      <w:r>
        <w:t xml:space="preserve"> </w:t>
      </w:r>
      <w:r>
        <w:t xml:space="preserve">2023 FoM values remain 0.000; its 2024 means are 0.0040, 0.0041 and 0.0120 for</w:t>
      </w:r>
      <w:r>
        <w:t xml:space="preserve"> </w:t>
      </w:r>
      <w:r>
        <w:t xml:space="preserve">the FLUS-style console, Kernel and GeoFM-LDN. The two filters therefore</w:t>
      </w:r>
      <w:r>
        <w:t xml:space="preserve"> </w:t>
      </w:r>
      <w:r>
        <w:t xml:space="preserve">describe label selection rather than establishing or rescuing model skill.</w:t>
      </w:r>
      <w:r>
        <w:t xml:space="preserve"> </w:t>
      </w:r>
      <w:r>
        <w:t xml:space="preserve">Dynamic World also reports built pixels increasing from 9,359 in 2022 to 15,598</w:t>
      </w:r>
      <w:r>
        <w:t xml:space="preserve"> </w:t>
      </w:r>
      <w:r>
        <w:t xml:space="preserve">in 2024 (67%), while the median one-year reversion fraction is 0.3611 and the</w:t>
      </w:r>
      <w:r>
        <w:t xml:space="preserve"> </w:t>
      </w:r>
      <w:r>
        <w:t xml:space="preserve">mean fraction of cells below confidence 0.5 is 0.5497. Test-year change counts</w:t>
      </w:r>
      <w:r>
        <w:t xml:space="preserve"> </w:t>
      </w:r>
      <w:r>
        <w:t xml:space="preserve">are 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bookmarkEnd w:id="29"/>
    <w:bookmarkStart w:id="33" w:name="Xf35d2cefa3408bab7531e6b3ab4202296c65812"/>
    <w:p>
      <w:pPr>
        <w:pStyle w:val="Heading3"/>
      </w:pPr>
      <w:r>
        <w:t xml:space="preserve">Rolling-origin and external-product tests expose temporal and label dependence</w:t>
      </w:r>
    </w:p>
    <w:p>
      <w:pPr>
        <w:pStyle w:val="FirstParagraph"/>
      </w:pPr>
      <w:r>
        <w:t xml:space="preserve">The leakage-controlled expanding-window test produced mean Kernel strict FoM</w:t>
      </w:r>
      <w:r>
        <w:t xml:space="preserve"> </w:t>
      </w:r>
      <w:r>
        <w:t xml:space="preserve">values of 0.2595, 0.0724, 0.2116 and 0.1816 for the 2021, 2022, 2023 and 2024</w:t>
      </w:r>
      <w:r>
        <w:t xml:space="preserve"> </w:t>
      </w:r>
      <w:r>
        <w:t xml:space="preserve">one-step targets, respectively. The corresponding random minimum-change values</w:t>
      </w:r>
      <w:r>
        <w:t xml:space="preserve"> </w:t>
      </w:r>
      <w:r>
        <w:t xml:space="preserve">were 0.0524, 0.0048, 0.0200 and 0.0323; persistence produced no predicted</w:t>
      </w:r>
      <w:r>
        <w:t xml:space="preserve"> </w:t>
      </w:r>
      <w:r>
        <w:t xml:space="preserve">change and therefore zero strict FoM. Paired 8 × 8-cell spatial-block contrasts</w:t>
      </w:r>
      <w:r>
        <w:t xml:space="preserve"> </w:t>
      </w:r>
      <w:r>
        <w:t xml:space="preserve">between Kernel and each zero model excluded zero in every target year and each</w:t>
      </w:r>
      <w:r>
        <w:t xml:space="preserve"> </w:t>
      </w:r>
      <w:r>
        <w:t xml:space="preserve">of the three seeds. The shared low 2022 values (Kernel 0.0724; random 0.0048)</w:t>
      </w:r>
      <w:r>
        <w:t xml:space="preserve"> </w:t>
      </w:r>
      <w:r>
        <w:t xml:space="preserve">indicate a difficult 2021→2022 transition for all allocators, consistent with</w:t>
      </w:r>
      <w:r>
        <w:t xml:space="preserve"> </w:t>
      </w:r>
      <w:r>
        <w:t xml:space="preserve">the elevated label-reversion rate in Fig. S2 and the contemporaneous fluctuation</w:t>
      </w:r>
      <w:r>
        <w:t xml:space="preserve"> </w:t>
      </w:r>
      <w:r>
        <w:t xml:space="preserve">in Dynamic World built counts, rather than a Kernel-specific failure. Persistence</w:t>
      </w:r>
      <w:r>
        <w:t xml:space="preserve"> </w:t>
      </w:r>
      <w:r>
        <w:t xml:space="preserve">also retained higher overall accuracy than Kernel in 2022–2024, whereas Kernel</w:t>
      </w:r>
      <w:r>
        <w:t xml:space="preserve"> </w:t>
      </w:r>
      <w:r>
        <w:t xml:space="preserve">had higher overall accuracy only in 2021. The change-specific and all-cell</w:t>
      </w:r>
      <w:r>
        <w:t xml:space="preserve"> </w:t>
      </w:r>
      <w:r>
        <w:t xml:space="preserve">metrics therefore answer different questions.</w:t>
      </w:r>
    </w:p>
    <w:p>
      <w:pPr>
        <w:pStyle w:val="BodyText"/>
      </w:pPr>
      <w:r>
        <w:t xml:space="preserve">The WorldCover comparison has two distinct interpretations. Across built</w:t>
      </w:r>
      <w:r>
        <w:t xml:space="preserve"> </w:t>
      </w:r>
      <w:r>
        <w:t xml:space="preserve">fractions from 0.05 to 0.30, WorldCover contained 1,445–1,802 built-gain cells</w:t>
      </w:r>
      <w:r>
        <w:t xml:space="preserve"> </w:t>
      </w:r>
      <w:r>
        <w:t xml:space="preserve">and 1,408–1,506 built-loss cells. Dynamic World-to-WorldCover built-gain F1 was</w:t>
      </w:r>
      <w:r>
        <w:t xml:space="preserve"> </w:t>
      </w:r>
      <w:r>
        <w:t xml:space="preserve">only 0.0111–0.0192. Dynamic World built pixels decreased from 9,642 in 2020 to</w:t>
      </w:r>
      <w:r>
        <w:t xml:space="preserve"> </w:t>
      </w:r>
      <w:r>
        <w:t xml:space="preserve">8,553 in 2021, so under the 2020→2021 Dynamic World oracle-demand action the</w:t>
      </w:r>
      <w:r>
        <w:t xml:space="preserve"> </w:t>
      </w:r>
      <w:r>
        <w:t xml:space="preserve">Kernel, random and persistence allocators necessarily produced no built-gain</w:t>
      </w:r>
      <w:r>
        <w:t xml:space="preserve"> </w:t>
      </w:r>
      <w:r>
        <w:t xml:space="preserve">cells. Their F1 of 0 is therefore a structural-zero, zero-power result and</w:t>
      </w:r>
      <w:r>
        <w:t xml:space="preserve"> </w:t>
      </w:r>
      <w:r>
        <w:t xml:space="preserve">cannot evaluate gain-location skill. The informative count-controlled variant</w:t>
      </w:r>
      <w:r>
        <w:t xml:space="preserve"> </w:t>
      </w:r>
      <w:r>
        <w:t xml:space="preserve">used the WorldCover gain count as the action and ranked 2020-origin Kernel</w:t>
      </w:r>
      <w:r>
        <w:t xml:space="preserve"> </w:t>
      </w:r>
      <w:r>
        <w:t xml:space="preserve">proposals against a random allocation from the same candidate population. Kernel</w:t>
      </w:r>
      <w:r>
        <w:t xml:space="preserve"> </w:t>
      </w:r>
      <w:r>
        <w:t xml:space="preserve">F1 was 0.0157–0.0397 versus 0.0251–0.0277 for random allocation. The mean ±</w:t>
      </w:r>
      <w:r>
        <w:t xml:space="preserve"> </w:t>
      </w:r>
      <w:r>
        <w:t xml:space="preserve">sample-SD pairs (Kernel versus random) were 0.0157 ± 0.0008 versus 0.0268 ±</w:t>
      </w:r>
      <w:r>
        <w:t xml:space="preserve"> </w:t>
      </w:r>
      <w:r>
        <w:t xml:space="preserve">0.0058 at 0.05, 0.0228 ± 0.0007 versus 0.0277 ± 0.0036 at 0.10, 0.0268 ±</w:t>
      </w:r>
      <w:r>
        <w:t xml:space="preserve"> </w:t>
      </w:r>
      <w:r>
        <w:t xml:space="preserve">0.0011 versus 0.0251 ± 0.0011 at 0.20, and 0.0397 ± 0.0007 versus 0.0251 ±</w:t>
      </w:r>
      <w:r>
        <w:t xml:space="preserve"> </w:t>
      </w:r>
      <w:r>
        <w:t xml:space="preserve">0.0075 at 0.30. Thus Kernel was below random at 0.05, the 0.10–0.20</w:t>
      </w:r>
      <w:r>
        <w:t xml:space="preserve"> </w:t>
      </w:r>
      <w:r>
        <w:t xml:space="preserve">differences were not distinguishable from three-seed variation, and only the</w:t>
      </w:r>
      <w:r>
        <w:t xml:space="preserve"> </w:t>
      </w:r>
      <w:r>
        <w:t xml:space="preserve">0.30 result was clearly above random. The low-threshold deficit is consistent</w:t>
      </w:r>
      <w:r>
        <w:t xml:space="preserve"> </w:t>
      </w:r>
      <w:r>
        <w:t xml:space="preserve">with WorldCover cells that barely exceed 5% built fraction, including sparse or</w:t>
      </w:r>
      <w:r>
        <w:t xml:space="preserve"> </w:t>
      </w:r>
      <w:r>
        <w:t xml:space="preserve">road-edge structure that Dynamic World does not consistently label as built;</w:t>
      </w:r>
      <w:r>
        <w:t xml:space="preserve"> </w:t>
      </w:r>
      <w:r>
        <w:t xml:space="preserve">the Kernel proposal learned from Dynamic World therefore ranks these product-</w:t>
      </w:r>
      <w:r>
        <w:t xml:space="preserve"> </w:t>
      </w:r>
      <w:r>
        <w:t xml:space="preserve">specific gains later than random candidates. For 2021 built stock, Kernel F1 was 0.3518–0.3971, while persistence was 0.3886–0.4387. The</w:t>
      </w:r>
      <w:r>
        <w:t xml:space="preserve"> </w:t>
      </w:r>
      <w:r>
        <w:t xml:space="preserve">corresponding Dynamic World 2020 and 2021 observed-stock baselines were</w:t>
      </w:r>
      <w:r>
        <w:t xml:space="preserve"> </w:t>
      </w:r>
      <w:r>
        <w:t xml:space="preserve">0.3908–0.4334 and 0.3501–0.3924, respectively, showing that the apparent</w:t>
      </w:r>
      <w:r>
        <w:t xml:space="preserve"> </w:t>
      </w:r>
      <w:r>
        <w:t xml:space="preserve">persistence advantage mirrors greater agreement of the 2020 label with</w:t>
      </w:r>
      <w:r>
        <w:t xml:space="preserve"> </w:t>
      </w:r>
      <w:r>
        <w:t xml:space="preserve">WorldCover rather than a model advantage. Fig. 3 separates these stock and</w:t>
      </w:r>
      <w:r>
        <w:t xml:space="preserve"> </w:t>
      </w:r>
      <w:r>
        <w:t xml:space="preserve">count-controlled gain comparisons; none is authoritative validation.</w:t>
      </w:r>
    </w:p>
    <w:p>
      <w:pPr>
        <w:pStyle w:val="CaptionedFigure"/>
        <w:keepNext/>
      </w:pPr>
      <w:r>
        <w:drawing>
          <wp:inline>
            <wp:extent cx="5334000" cy="3532492"/>
            <wp:effectExtent b="0" l="0" r="0" t="0"/>
            <wp:docPr descr="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 title="" id="31" name="Picture"/>
            <a:graphic>
              <a:graphicData uri="http://schemas.openxmlformats.org/drawingml/2006/picture">
                <pic:pic>
                  <pic:nvPicPr>
                    <pic:cNvPr descr="figures/fig03_rolling_external_diagnostics.png" id="32" name="Picture"/>
                    <pic:cNvPicPr>
                      <a:picLocks noChangeArrowheads="1" noChangeAspect="1"/>
                    </pic:cNvPicPr>
                  </pic:nvPicPr>
                  <pic:blipFill>
                    <a:blip r:embed="rId30"/>
                    <a:stretch>
                      <a:fillRect/>
                    </a:stretch>
                  </pic:blipFill>
                  <pic:spPr bwMode="auto">
                    <a:xfrm>
                      <a:off x="0" y="0"/>
                      <a:ext cx="5334000" cy="3532492"/>
                    </a:xfrm>
                    <a:prstGeom prst="rect">
                      <a:avLst/>
                    </a:prstGeom>
                    <a:noFill/>
                    <a:ln w="9525">
                      <a:noFill/>
                      <a:headEnd/>
                      <a:tailEnd/>
                    </a:ln>
                  </pic:spPr>
                </pic:pic>
              </a:graphicData>
            </a:graphic>
          </wp:inline>
        </w:drawing>
      </w:r>
    </w:p>
    <w:p>
      <w:pPr>
        <w:pStyle w:val="ImageCaption"/>
        <w:keepLines/>
      </w:pPr>
      <w:r>
        <w:t>Figure 3. 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An author-controlled</w:t>
      </w:r>
      <w:r>
        <w:t xml:space="preserve"> </w:t>
      </w:r>
      <w:r>
        <w:t xml:space="preserve">GitHub Actions Ubuntu x86_64 rerun under Python 3.11.16 and scikit-learn 1.9.0</w:t>
      </w:r>
      <w:r>
        <w:t xml:space="preserve"> </w:t>
      </w:r>
      <w:r>
        <w:t xml:space="preserve">matched all six released categorical reference rasters exactly; its archived</w:t>
      </w:r>
      <w:r>
        <w:t xml:space="preserve"> </w:t>
      </w:r>
      <w:r>
        <w:t xml:space="preserve">audit is linked in Code availability. This is a scoped locked-stack regression</w:t>
      </w:r>
      <w:r>
        <w:t xml:space="preserve"> </w:t>
      </w:r>
      <w:r>
        <w:t xml:space="preserve">result, not universal bitwise identity. Independent external Windows FLUS</w:t>
      </w:r>
      <w:r>
        <w:t xml:space="preserve"> </w:t>
      </w:r>
      <w:r>
        <w:t xml:space="preserve">verification is documented with its provenance limitation in Supplementary</w:t>
      </w:r>
      <w:r>
        <w:t xml:space="preserve"> </w:t>
      </w:r>
      <w:r>
        <w:t xml:space="preserve">Table S3; its source rasters are not locally archived. The archived comparison</w:t>
      </w:r>
      <w:r>
        <w:t xml:space="preserve"> </w:t>
      </w:r>
      <w:r>
        <w:t xml:space="preserve">report records the exact paths and environment fields for the arm64 pair.</w:t>
      </w:r>
    </w:p>
    <w:bookmarkEnd w:id="33"/>
    <w:bookmarkStart w:id="40" w:name="Xca9386d477ada4c627d8a39106e79373e217705"/>
    <w:p>
      <w:pPr>
        <w:pStyle w:val="Heading3"/>
      </w:pPr>
      <w:r>
        <w:t xml:space="preserve">Cross-product replication changes measured model skill</w:t>
      </w:r>
    </w:p>
    <w:p>
      <w:pPr>
        <w:pStyle w:val="FirstParagraph"/>
      </w:pPr>
      <w:r>
        <w:t xml:space="preserve">The harmonized products disagree materially even before a model is fitted.</w:t>
      </w:r>
      <w:r>
        <w:t xml:space="preserve"> </w:t>
      </w:r>
      <w:r>
        <w:t xml:space="preserve">Across 2017–2024, same-year all-class agreement ranged from 0.651 to 0.745 and</w:t>
      </w:r>
      <w:r>
        <w:t xml:space="preserve"> </w:t>
      </w:r>
      <w:r>
        <w:t xml:space="preserve">built-class intersection over union from 0.320 to 0.449. In 2024, Dynamic World</w:t>
      </w:r>
      <w:r>
        <w:t xml:space="preserve"> </w:t>
      </w:r>
      <w:r>
        <w:t xml:space="preserve">mapped 155.98 km² of built land on the common grid, whereas the ArcGIS-served</w:t>
      </w:r>
      <w:r>
        <w:t xml:space="preserve"> </w:t>
      </w:r>
      <w:r>
        <w:t xml:space="preserve">Impact Observatory/Microsoft/Esri series mapped 335.57 km². The latter declined</w:t>
      </w:r>
      <w:r>
        <w:t xml:space="preserve"> </w:t>
      </w:r>
      <w:r>
        <w:t xml:space="preserve">to 327.31 km² in 2025. The added year improves the currency of the public origin</w:t>
      </w:r>
      <w:r>
        <w:t xml:space="preserve"> </w:t>
      </w:r>
      <w:r>
        <w:t xml:space="preserve">state, but neither the larger built stock nor the native 10-m pixel size</w:t>
      </w:r>
      <w:r>
        <w:t xml:space="preserve"> </w:t>
      </w:r>
      <w:r>
        <w:t xml:space="preserve">establishes greater local accuracy.</w:t>
      </w:r>
    </w:p>
    <w:p>
      <w:pPr>
        <w:pStyle w:val="BodyText"/>
      </w:pPr>
      <w:r>
        <w:t xml:space="preserve">Under the leakage-controlled matched protocol, Geospatial Kernel had the</w:t>
      </w:r>
      <w:r>
        <w:t xml:space="preserve"> </w:t>
      </w:r>
      <w:r>
        <w:t xml:space="preserve">largest mean strict FoM in all four Dynamic World targets (0.2595, 0.0724,</w:t>
      </w:r>
      <w:r>
        <w:t xml:space="preserve"> </w:t>
      </w:r>
      <w:r>
        <w:t xml:space="preserve">0.2116 and 0.1816 for 2021–2024), but in only two of the four matched</w:t>
      </w:r>
      <w:r>
        <w:t xml:space="preserve"> </w:t>
      </w:r>
      <w:r>
        <w:t xml:space="preserve">ArcGIS-served targets. FLUS-style ANN–CA led the ArcGIS-served 2021 target</w:t>
      </w:r>
      <w:r>
        <w:t xml:space="preserve"> </w:t>
      </w:r>
      <w:r>
        <w:t xml:space="preserve">(0.0625 versus Kernel 0.0154 and GeoFM-LDN 0.0314), GeoFM-LDN led in 2022</w:t>
      </w:r>
      <w:r>
        <w:t xml:space="preserve"> </w:t>
      </w:r>
      <w:r>
        <w:t xml:space="preserve">(0.4488 versus 0.2775 and 0.2227), and Kernel numerically led in 2023 and 2024</w:t>
      </w:r>
      <w:r>
        <w:t xml:space="preserve"> </w:t>
      </w:r>
      <w:r>
        <w:t xml:space="preserve">(0.1619 and 0.1674). The Kernel-minus-random paired spatial-block interval</w:t>
      </w:r>
      <w:r>
        <w:t xml:space="preserve"> </w:t>
      </w:r>
      <w:r>
        <w:t xml:space="preserve">excluded zero in every ArcGIS-served year and seed, including the additional</w:t>
      </w:r>
      <w:r>
        <w:t xml:space="preserve"> </w:t>
      </w:r>
      <w:r>
        <w:t xml:space="preserve">2025 target, but its ArcGIS-minus-Dynamic World mean FoM difference was -0.244,</w:t>
      </w:r>
      <w:r>
        <w:t xml:space="preserve"> </w:t>
      </w:r>
      <w:r>
        <w:t xml:space="preserve">+0.205, -0.050 and -0.014 across the four matched years. Thus the learned</w:t>
      </w:r>
      <w:r>
        <w:t xml:space="preserve"> </w:t>
      </w:r>
      <w:r>
        <w:t xml:space="preserve">allocator contains repeatable spatial signal relative to its zero model, while</w:t>
      </w:r>
      <w:r>
        <w:t xml:space="preserve"> </w:t>
      </w:r>
      <w:r>
        <w:t xml:space="preserve">its absolute score and rank remain dependent on the product pipeline. Supplementary</w:t>
      </w:r>
      <w:r>
        <w:t xml:space="preserve"> </w:t>
      </w:r>
      <w:r>
        <w:t xml:space="preserve">Table S7 reports all seed-specific paired intervals for Kernel versus FLUS-style</w:t>
      </w:r>
      <w:r>
        <w:t xml:space="preserve"> </w:t>
      </w:r>
      <w:r>
        <w:t xml:space="preserve">and GeoFM-LDN versus Kernel. In the ArcGIS 2023 target, all three GeoFM-LDN-minus-</w:t>
      </w:r>
      <w:r>
        <w:t xml:space="preserve"> </w:t>
      </w:r>
      <w:r>
        <w:t xml:space="preserve">Kernel intervals include zero despite Kernel’s higher mean; in 2024, two exclude</w:t>
      </w:r>
      <w:r>
        <w:t xml:space="preserve"> </w:t>
      </w:r>
      <w:r>
        <w:t xml:space="preserve">zero in Kernel’s favour and one includes zero. These are conditional intervals,</w:t>
      </w:r>
      <w:r>
        <w:t xml:space="preserve"> </w:t>
      </w:r>
      <w:r>
        <w:t xml:space="preserve">not a pooled ranking test. The additional ArcGIS 2025 target gives mean FoM of</w:t>
      </w:r>
      <w:r>
        <w:t xml:space="preserve"> </w:t>
      </w:r>
      <w:r>
        <w:t xml:space="preserve">0.0731 for FLUS-style, 0.0654 for GeoFM-LDN and 0.0579 for Kernel; Kernel is</w:t>
      </w:r>
      <w:r>
        <w:t xml:space="preserve"> </w:t>
      </w:r>
      <w:r>
        <w:t xml:space="preserve">therefore not the numerical leader in the latest year. Block-size sensitivity</w:t>
      </w:r>
      <w:r>
        <w:t xml:space="preserve"> </w:t>
      </w:r>
      <w:r>
        <w:t xml:space="preserve">has not been established, and repeated seeds do not constitute independent</w:t>
      </w:r>
      <w:r>
        <w:t xml:space="preserve"> </w:t>
      </w:r>
      <w:r>
        <w:t xml:space="preserve">spatial or temporal replication. The</w:t>
      </w:r>
      <w:r>
        <w:t xml:space="preserve"> </w:t>
      </w:r>
      <w:r>
        <w:t xml:space="preserve">finite-iteration FLUS-style CA retained demand total variation up to 0.00153 in</w:t>
      </w:r>
      <w:r>
        <w:t xml:space="preserve"> </w:t>
      </w:r>
      <w:r>
        <w:t xml:space="preserve">the ArcGIS-served track and 0.00415 in Dynamic World; the exact-count Kernel,</w:t>
      </w:r>
      <w:r>
        <w:t xml:space="preserve"> </w:t>
      </w:r>
      <w:r>
        <w:t xml:space="preserve">GeoFM-LDN and random allocators had zero demand error by construction.</w:t>
      </w:r>
      <w:r>
        <w:t xml:space="preserve"> </w:t>
      </w:r>
      <w:r>
        <w:t xml:space="preserve">Supplementary Table S6 reports all target years and product-agreement values.</w:t>
      </w:r>
    </w:p>
    <w:p>
      <w:pPr>
        <w:pStyle w:val="BodyText"/>
      </w:pPr>
      <w:r>
        <w:t xml:space="preserve">The count-only analysis exposes an additional source of score dependence. In</w:t>
      </w:r>
      <w:r>
        <w:t xml:space="preserve"> </w:t>
      </w:r>
      <w:r>
        <w:t xml:space="preserve">the ArcGIS 2021 fold, the minimum-change action permits 278 moves against 3,241</w:t>
      </w:r>
      <w:r>
        <w:t xml:space="preserve"> </w:t>
      </w:r>
      <w:r>
        <w:t xml:space="preserve">observed changes, bounding strict FoM at 0.0858 even before destination or</w:t>
      </w:r>
      <w:r>
        <w:t xml:space="preserve"> </w:t>
      </w:r>
      <w:r>
        <w:t xml:space="preserve">hard-mask restrictions. In 2022, 6,864 permitted moves against 8,446 observed</w:t>
      </w:r>
      <w:r>
        <w:t xml:space="preserve"> </w:t>
      </w:r>
      <w:r>
        <w:t xml:space="preserve">changes give a much higher bound of 0.8127. The corresponding Dynamic World</w:t>
      </w:r>
      <w:r>
        <w:t xml:space="preserve"> </w:t>
      </w:r>
      <w:r>
        <w:t xml:space="preserve">bounds are 0.4590 and 0.2885. All nine fold bounds and observed scores are</w:t>
      </w:r>
      <w:r>
        <w:t xml:space="preserve"> </w:t>
      </w:r>
      <w:r>
        <w:t xml:space="preserve">reported in Supplementary Table S7. The reversal in these bounds means that</w:t>
      </w:r>
      <w:r>
        <w:t xml:space="preserve"> </w:t>
      </w:r>
      <w:r>
        <w:t xml:space="preserve">cross-product FoM differences combine allocation skill with the relationship</w:t>
      </w:r>
      <w:r>
        <w:t xml:space="preserve"> </w:t>
      </w:r>
      <w:r>
        <w:t xml:space="preserve">between net and gross product change. It does not identify which product is</w:t>
      </w:r>
      <w:r>
        <w:t xml:space="preserve"> </w:t>
      </w:r>
      <w:r>
        <w:t xml:space="preserve">more accurate or establish the performance of an allocator allowing simultaneous</w:t>
      </w:r>
      <w:r>
        <w:t xml:space="preserve"> </w:t>
      </w:r>
      <w:r>
        <w:t xml:space="preserve">gain and loss of each class.</w:t>
      </w:r>
    </w:p>
    <w:p>
      <w:pPr>
        <w:pStyle w:val="BodyText"/>
      </w:pPr>
      <w:r>
        <w:t xml:space="preserve">Frontier membership was more stable than the historical numerical ranking. Recomputing</w:t>
      </w:r>
      <w:r>
        <w:t xml:space="preserve"> </w:t>
      </w:r>
      <w:r>
        <w:t xml:space="preserve">the same three-objective Pareto rule on each product-specific 2031 scenario</w:t>
      </w:r>
      <w:r>
        <w:t xml:space="preserve"> </w:t>
      </w:r>
      <w:r>
        <w:t xml:space="preserve">bundle retained FLUS-style and Kernel candidates, and excluded GeoFM-LDN, in</w:t>
      </w:r>
      <w:r>
        <w:t xml:space="preserve"> </w:t>
      </w:r>
      <w:r>
        <w:t xml:space="preserve">all three scenarios. This does not validate either future bundle; it shows only</w:t>
      </w:r>
      <w:r>
        <w:t xml:space="preserve"> </w:t>
      </w:r>
      <w:r>
        <w:t xml:space="preserve">that frontier membership was insensitive to this particular public-product</w:t>
      </w:r>
      <w:r>
        <w:t xml:space="preserve"> </w:t>
      </w:r>
      <w:r>
        <w:t xml:space="preserve">replacement under the released proxy objectives. Identical membership among</w:t>
      </w:r>
      <w:r>
        <w:t xml:space="preserve"> </w:t>
      </w:r>
      <w:r>
        <w:t xml:space="preserve">three candidates does not establish spatial agreement of their allocations or</w:t>
      </w:r>
      <w:r>
        <w:t xml:space="preserve"> </w:t>
      </w:r>
      <w:r>
        <w:t xml:space="preserve">stability of planning benefits. Product-specific origins, horizons and actions</w:t>
      </w:r>
      <w:r>
        <w:t xml:space="preserve"> </w:t>
      </w:r>
      <w:r>
        <w:t xml:space="preserve">also differ; this is not a controlled experiment holding demand and initial</w:t>
      </w:r>
      <w:r>
        <w:t xml:space="preserve"> </w:t>
      </w:r>
      <w:r>
        <w:t xml:space="preserve">conditions fixed. Fig. 4 separates changes in</w:t>
      </w:r>
      <w:r>
        <w:t xml:space="preserve"> </w:t>
      </w:r>
      <w:r>
        <w:t xml:space="preserve">mapped stock, same-year product agreement, ArcGIS-served historical skill and</w:t>
      </w:r>
      <w:r>
        <w:t xml:space="preserve"> </w:t>
      </w:r>
      <w:r>
        <w:t xml:space="preserve">the matched product difference.</w:t>
      </w:r>
    </w:p>
    <w:p>
      <w:pPr>
        <w:pStyle w:val="CaptionedFigure"/>
        <w:keepNext/>
      </w:pPr>
      <w:r>
        <w:drawing>
          <wp:inline>
            <wp:extent cx="5334000" cy="4641981"/>
            <wp:effectExtent b="0" l="0" r="0" t="0"/>
            <wp:docPr descr="Land-cover product robustness. Panel a compares annual mapped built area;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 title="" id="35" name="Picture"/>
            <a:graphic>
              <a:graphicData uri="http://schemas.openxmlformats.org/drawingml/2006/picture">
                <pic:pic>
                  <pic:nvPicPr>
                    <pic:cNvPr descr="figures/fig04_product_robustness.png" id="36" name="Picture"/>
                    <pic:cNvPicPr>
                      <a:picLocks noChangeArrowheads="1" noChangeAspect="1"/>
                    </pic:cNvPicPr>
                  </pic:nvPicPr>
                  <pic:blipFill>
                    <a:blip r:embed="rId34"/>
                    <a:stretch>
                      <a:fillRect/>
                    </a:stretch>
                  </pic:blipFill>
                  <pic:spPr bwMode="auto">
                    <a:xfrm>
                      <a:off x="0" y="0"/>
                      <a:ext cx="5334000" cy="4641981"/>
                    </a:xfrm>
                    <a:prstGeom prst="rect">
                      <a:avLst/>
                    </a:prstGeom>
                    <a:noFill/>
                    <a:ln w="9525">
                      <a:noFill/>
                      <a:headEnd/>
                      <a:tailEnd/>
                    </a:ln>
                  </pic:spPr>
                </pic:pic>
              </a:graphicData>
            </a:graphic>
          </wp:inline>
        </w:drawing>
      </w:r>
    </w:p>
    <w:p>
      <w:pPr>
        <w:pStyle w:val="ImageCaption"/>
        <w:keepLines/>
      </w:pPr>
      <w:r>
        <w:t>Figure 4. Land-cover product robustness. Panel a compares annual mapped built area;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corresponding objective profiles and diagnostic trade-offs are shown in</w:t>
      </w:r>
      <w:r>
        <w:t xml:space="preserve"> </w:t>
      </w:r>
      <w:r>
        <w:t xml:space="preserve">Fig. 5.</w:t>
      </w:r>
    </w:p>
    <w:p>
      <w:pPr>
        <w:pStyle w:val="CaptionedFigure"/>
        <w:keepNext/>
      </w:pPr>
      <w:r>
        <w:drawing>
          <wp:inline>
            <wp:extent cx="5334000" cy="2431159"/>
            <wp:effectExtent b="0" l="0" r="0" t="0"/>
            <wp:docPr descr="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 title="" id="38" name="Picture"/>
            <a:graphic>
              <a:graphicData uri="http://schemas.openxmlformats.org/drawingml/2006/picture">
                <pic:pic>
                  <pic:nvPicPr>
                    <pic:cNvPr descr="figures/fig04_planning_objectives.png" id="39" name="Picture"/>
                    <pic:cNvPicPr>
                      <a:picLocks noChangeArrowheads="1" noChangeAspect="1"/>
                    </pic:cNvPicPr>
                  </pic:nvPicPr>
                  <pic:blipFill>
                    <a:blip r:embed="rId37"/>
                    <a:stretch>
                      <a:fillRect/>
                    </a:stretch>
                  </pic:blipFill>
                  <pic:spPr bwMode="auto">
                    <a:xfrm>
                      <a:off x="0" y="0"/>
                      <a:ext cx="5334000" cy="2431159"/>
                    </a:xfrm>
                    <a:prstGeom prst="rect">
                      <a:avLst/>
                    </a:prstGeom>
                    <a:noFill/>
                    <a:ln w="9525">
                      <a:noFill/>
                      <a:headEnd/>
                      <a:tailEnd/>
                    </a:ln>
                  </pic:spPr>
                </pic:pic>
              </a:graphicData>
            </a:graphic>
          </wp:inline>
        </w:drawing>
      </w:r>
    </w:p>
    <w:p>
      <w:pPr>
        <w:pStyle w:val="ImageCaption"/>
        <w:keepLines/>
      </w:pPr>
      <w:r>
        <w:t>Figure 5. 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w:t>
      </w:r>
    </w:p>
    <w:p>
      <w:pPr>
        <w:pStyle w:val="BodyText"/>
      </w:pPr>
      <w:r>
        <w:rPr>
          <w:b/>
          <w:bCs/>
        </w:rPr>
        <w:t xml:space="preserve">Table 2. 2031 within-scenario planning objectives.</w:t>
      </w:r>
      <w:r>
        <w:t xml:space="preserve"> </w:t>
      </w:r>
      <w:r>
        <w:t xml:space="preserve">Values are means across</w:t>
      </w:r>
      <w:r>
        <w:t xml:space="preserve"> </w:t>
      </w:r>
      <w:r>
        <w:t xml:space="preserve">three seeds. Road and pre-existing-built distances are in metres; components are</w:t>
      </w:r>
      <w:r>
        <w:t xml:space="preserve"> </w:t>
      </w:r>
      <w:r>
        <w:t xml:space="preserve">the number in the combined 2024-built and newly built footprint per 1,000 valid</w:t>
      </w:r>
      <w:r>
        <w:t xml:space="preserve"> </w:t>
      </w:r>
      <w:r>
        <w:t xml:space="preserve">cells. Ecological conversion is a descriptive fraction of new-built cells whose</w:t>
      </w:r>
      <w:r>
        <w:t xml:space="preserve"> </w:t>
      </w:r>
      <w:r>
        <w:t xml:space="preserve">origin was woody vegetation, low vegetation or wetland. Asterisks indicate the</w:t>
      </w:r>
      <w:r>
        <w:t xml:space="preserve"> </w:t>
      </w:r>
      <w:r>
        <w:t xml:space="preserve">primary within-scenario Pareto frontier.</w:t>
      </w:r>
    </w:p>
    <w:tbl>
      <w:tblPr>
        <w:tblStyle w:val="Table"/>
        <w:tblW w:type="pct" w:w="5000"/>
        <w:tblLayout w:type="fixed"/>
        <w:tblLook w:firstRow="1" w:lastRow="0" w:firstColumn="0" w:lastColumn="0" w:noHBand="0" w:noVBand="0" w:val="0020"/>
      </w:tblPr>
      <w:tblGrid>
        <w:gridCol w:w="1267"/>
        <w:gridCol w:w="1267"/>
        <w:gridCol w:w="1267"/>
        <w:gridCol w:w="1267"/>
        <w:gridCol w:w="1267"/>
        <w:gridCol w:w="1584"/>
      </w:tblGrid>
      <w:tr>
        <w:trPr>
          <w:tblHeader w:val="on"/>
        </w:trPr>
        <w:tc>
          <w:tcPr/>
          <w:p>
            <w:pPr>
              <w:pStyle w:val="Compact"/>
              <w:jc w:val="left"/>
            </w:pPr>
            <w:r>
              <w:t xml:space="preserve">Scenario / model</w:t>
            </w:r>
          </w:p>
        </w:tc>
        <w:tc>
          <w:tcPr/>
          <w:p>
            <w:pPr>
              <w:pStyle w:val="Compact"/>
              <w:jc w:val="right"/>
            </w:pPr>
            <w:r>
              <w:t xml:space="preserve">Road (m)</w:t>
            </w:r>
          </w:p>
        </w:tc>
        <w:tc>
          <w:tcPr/>
          <w:p>
            <w:pPr>
              <w:pStyle w:val="Compact"/>
              <w:jc w:val="right"/>
            </w:pPr>
            <w:r>
              <w:t xml:space="preserve">Prior built (m)</w:t>
            </w:r>
          </w:p>
        </w:tc>
        <w:tc>
          <w:tcPr/>
          <w:p>
            <w:pPr>
              <w:pStyle w:val="Compact"/>
              <w:jc w:val="right"/>
            </w:pPr>
            <w:r>
              <w:t xml:space="preserve">Components / 1,000</w:t>
            </w:r>
          </w:p>
        </w:tc>
        <w:tc>
          <w:tcPr/>
          <w:p>
            <w:pPr>
              <w:pStyle w:val="Compact"/>
              <w:jc w:val="right"/>
            </w:pPr>
            <w:r>
              <w:t xml:space="preserve">Ecology*</w:t>
            </w:r>
          </w:p>
        </w:tc>
        <w:tc>
          <w:tcPr/>
          <w:p>
            <w:pPr>
              <w:pStyle w:val="Compact"/>
              <w:jc w:val="center"/>
            </w:pPr>
            <w:r>
              <w:t xml:space="preserve">Frontier</w:t>
            </w:r>
          </w:p>
        </w:tc>
      </w:tr>
      <w:tr>
        <w:tc>
          <w:tcPr/>
          <w:p>
            <w:pPr>
              <w:pStyle w:val="Compact"/>
              <w:jc w:val="left"/>
            </w:pPr>
            <w:r>
              <w:rPr>
                <w:b/>
                <w:bCs/>
              </w:rPr>
              <w:t xml:space="preserve">Moderate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jc w:val="left"/>
            </w:pPr>
            <w:r>
              <w:rPr>
                <w:b/>
                <w:bCs/>
              </w:rPr>
              <w:t xml:space="preserve">Green priority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jc w:val="left"/>
            </w:pPr>
            <w:r>
              <w:rPr>
                <w:b/>
                <w:bCs/>
              </w:rPr>
              <w:t xml:space="preserve">High outward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40"/>
    <w:bookmarkStart w:id="41"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 6A shows focused proposal controls, and Fig. 6B reports the matched runtime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41"/>
    <w:bookmarkStart w:id="45"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p>
      <w:pPr>
        <w:pStyle w:val="CaptionedFigure"/>
        <w:keepNext/>
      </w:pPr>
      <w:r>
        <w:drawing>
          <wp:inline>
            <wp:extent cx="5334000" cy="2478180"/>
            <wp:effectExtent b="0" l="0" r="0" t="0"/>
            <wp:docPr descr="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 title="" id="43" name="Picture"/>
            <a:graphic>
              <a:graphicData uri="http://schemas.openxmlformats.org/drawingml/2006/picture">
                <pic:pic>
                  <pic:nvPicPr>
                    <pic:cNvPr descr="figures/fig05_mechanism_ablation.png" id="44" name="Picture"/>
                    <pic:cNvPicPr>
                      <a:picLocks noChangeArrowheads="1" noChangeAspect="1"/>
                    </pic:cNvPicPr>
                  </pic:nvPicPr>
                  <pic:blipFill>
                    <a:blip r:embed="rId42"/>
                    <a:stretch>
                      <a:fillRect/>
                    </a:stretch>
                  </pic:blipFill>
                  <pic:spPr bwMode="auto">
                    <a:xfrm>
                      <a:off x="0" y="0"/>
                      <a:ext cx="5334000" cy="2478180"/>
                    </a:xfrm>
                    <a:prstGeom prst="rect">
                      <a:avLst/>
                    </a:prstGeom>
                    <a:noFill/>
                    <a:ln w="9525">
                      <a:noFill/>
                      <a:headEnd/>
                      <a:tailEnd/>
                    </a:ln>
                  </pic:spPr>
                </pic:pic>
              </a:graphicData>
            </a:graphic>
          </wp:inline>
        </w:drawing>
      </w:r>
    </w:p>
    <w:p>
      <w:pPr>
        <w:pStyle w:val="ImageCaption"/>
        <w:keepLines/>
      </w:pPr>
      <w:r>
        <w:t>Figure 6. 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w:t>
      </w:r>
    </w:p>
    <w:bookmarkEnd w:id="45"/>
    <w:bookmarkStart w:id="49" w:name="Xda759c8571f7c32c55e24e08b791bff6f7b5747"/>
    <w:p>
      <w:pPr>
        <w:pStyle w:val="Heading3"/>
      </w:pPr>
      <w:r>
        <w:t xml:space="preserve">Spatial footprints are scenario-conditioned, not parcel predictions</w:t>
      </w:r>
    </w:p>
    <w:p>
      <w:pPr>
        <w:pStyle w:val="FirstParagraph"/>
      </w:pP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Kernel and GeoFM-LDN seed-level projections</w:t>
      </w:r>
      <w:r>
        <w:t xml:space="preserve"> </w:t>
      </w:r>
      <w:r>
        <w:t xml:space="preserve">meet their feasible class totals, whereas the finite-iteration FLUS control can</w:t>
      </w:r>
      <w:r>
        <w:t xml:space="preserve"> </w:t>
      </w:r>
      <w:r>
        <w:t xml:space="preserve">retain demand error. Majority voting can produce a different raster and therefore</w:t>
      </w:r>
      <w:r>
        <w:t xml:space="preserve"> </w:t>
      </w:r>
      <w:r>
        <w:t xml:space="preserve">a non-zero ensemble error even for an exact-count allocator. The constraint-</w:t>
      </w:r>
      <w:r>
        <w:t xml:space="preserve"> </w:t>
      </w:r>
      <w:r>
        <w:t xml:space="preserve">preserving claim applies to individual projected members, not to count preservation</w:t>
      </w:r>
      <w:r>
        <w:t xml:space="preserve"> </w:t>
      </w:r>
      <w:r>
        <w:t xml:space="preserve">in the majority-vote delivery. Those ensembles are descriptive consensus maps.</w:t>
      </w:r>
      <w:r>
        <w:t xml:space="preserve"> </w:t>
      </w:r>
      <w:r>
        <w:t xml:space="preserve">Any use requiring exact totals must select and audit a feasible seed-level member</w:t>
      </w:r>
      <w:r>
        <w:t xml:space="preserve"> </w:t>
      </w:r>
      <w:r>
        <w:t xml:space="preserve">or reproject the consensus, with objective values recomputed on that final map.</w:t>
      </w:r>
      <w:r>
        <w:t xml:space="preserve"> </w:t>
      </w:r>
      <w:r>
        <w:t xml:space="preserve">No such reprojected ensemble is evaluated here. All 312 historical,</w:t>
      </w:r>
      <w:r>
        <w:t xml:space="preserve"> </w:t>
      </w:r>
      <w:r>
        <w:t xml:space="preserve">rolling-origin and planning prediction records passed the raster audit, and the</w:t>
      </w:r>
      <w:r>
        <w:t xml:space="preserve"> </w:t>
      </w:r>
      <w:r>
        <w:t xml:space="preserve">two frozen WorldCover evidence rasters passed the evidence audit. Fig. 7 uses the high-outward</w:t>
      </w:r>
      <w:r>
        <w:t xml:space="preserve"> </w:t>
      </w:r>
      <w:r>
        <w:t xml:space="preserve">scenario to make the spatial contrast legible; the complete nine-panel atlas is</w:t>
      </w:r>
      <w:r>
        <w:t xml:space="preserve"> </w:t>
      </w:r>
      <w:r>
        <w:t xml:space="preserve">provided as Fig. S1. These are raster-cell change footprints, not</w:t>
      </w:r>
      <w:r>
        <w:t xml:space="preserve"> </w:t>
      </w:r>
      <w:r>
        <w:t xml:space="preserve">parcel boundaries or statutory zoning maps.</w:t>
      </w:r>
    </w:p>
    <w:p>
      <w:pPr>
        <w:pStyle w:val="CaptionedFigure"/>
        <w:keepNext/>
      </w:pPr>
      <w:r>
        <w:drawing>
          <wp:inline>
            <wp:extent cx="5334000" cy="4712835"/>
            <wp:effectExtent b="0" l="0" r="0" t="0"/>
            <wp:docPr descr="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 title="" id="47" name="Picture"/>
            <a:graphic>
              <a:graphicData uri="http://schemas.openxmlformats.org/drawingml/2006/picture">
                <pic:pic>
                  <pic:nvPicPr>
                    <pic:cNvPr descr="figures/fig06_planning_maps_2031.png" id="48" name="Picture"/>
                    <pic:cNvPicPr>
                      <a:picLocks noChangeArrowheads="1" noChangeAspect="1"/>
                    </pic:cNvPicPr>
                  </pic:nvPicPr>
                  <pic:blipFill>
                    <a:blip r:embed="rId46"/>
                    <a:stretch>
                      <a:fillRect/>
                    </a:stretch>
                  </pic:blipFill>
                  <pic:spPr bwMode="auto">
                    <a:xfrm>
                      <a:off x="0" y="0"/>
                      <a:ext cx="5334000" cy="4712835"/>
                    </a:xfrm>
                    <a:prstGeom prst="rect">
                      <a:avLst/>
                    </a:prstGeom>
                    <a:noFill/>
                    <a:ln w="9525">
                      <a:noFill/>
                      <a:headEnd/>
                      <a:tailEnd/>
                    </a:ln>
                  </pic:spPr>
                </pic:pic>
              </a:graphicData>
            </a:graphic>
          </wp:inline>
        </w:drawing>
      </w:r>
    </w:p>
    <w:p>
      <w:pPr>
        <w:pStyle w:val="ImageCaption"/>
        <w:keepLines/>
      </w:pPr>
      <w:r>
        <w:t>Figure 7. 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w:t>
      </w:r>
    </w:p>
    <w:bookmarkEnd w:id="49"/>
    <w:bookmarkEnd w:id="50"/>
    <w:bookmarkStart w:id="52"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annual label-product uncertainty. The defensible contribution is that a transition proposal and a planning admission rule can be represented and inspected separately even when the observational product changes. Kernel exceeded the random minimum-change control in every Dynamic World and ArcGIS-served expanding-window fold, but product replacement changed its absolute FoM by as much as 0.244 downward and 0.205 upward and changed which learned model ranked first. The original unmatched 2023–2024 result is therefore supporting evidence, not a universal ordering. By contrast, the released three-objective planning frontiers retained FLUS-style and Kernel candidates across both product-specific scenario bundles. Historical allocation skill and conditional planning-objective membership are different robustness questions; neither is a test of statutory forecast accuracy.</w:t>
      </w:r>
    </w:p>
    <w:p>
      <w:pPr>
        <w:pStyle w:val="BodyText"/>
      </w:pPr>
      <w:r>
        <w:t xml:space="preserve">The WorldCover diagnostic also does not provide blanket external validation: the original Dynamic World-count gain comparison is structurally zero-powered because the observed built count declines. Its count-controlled variant remains near opportunity-level agreement overall: Kernel is below random at 0.05, indistinguishable from random at 0.10–0.20 given three-seed variation, and above random only at 0.30. The low-threshold deficit is consistent with WorldCover’s sparse or road-edge cells just above the 5% built-fraction threshold being inconsistently represented by Dynamic World. Confidence filtering, rolling-window stability, WorldCover agreement and the new complete-product replication test different failure modes. None substitutes for authoritative local validation.</w:t>
      </w:r>
    </w:p>
    <w:p>
      <w:pPr>
        <w:pStyle w:val="BodyText"/>
      </w:pPr>
      <w:r>
        <w:t xml:space="preserve">The evidence remains bounded. The six classes are remote-sensing land cover, not</w:t>
      </w:r>
      <w:r>
        <w:t xml:space="preserve"> </w:t>
      </w:r>
      <w:r>
        <w:t xml:space="preserve">statutory residential, commercial or industrial land use. Dynamic World and the</w:t>
      </w:r>
      <w:r>
        <w:t xml:space="preserve"> </w:t>
      </w:r>
      <w:r>
        <w:t xml:space="preserve">ArcGIS-served series are both global products derived from Sentinel observations;</w:t>
      </w:r>
      <w:r>
        <w:t xml:space="preserve"> </w:t>
      </w:r>
      <w:r>
        <w:t xml:space="preserve">their disagreement does not identify which label is correct. Product-native</w:t>
      </w:r>
      <w:r>
        <w:t xml:space="preserve"> </w:t>
      </w:r>
      <w:r>
        <w:t xml:space="preserve">quality terms and origin-year water/wetland masks also differ, so the replication</w:t>
      </w:r>
      <w:r>
        <w:t xml:space="preserve"> </w:t>
      </w:r>
      <w:r>
        <w:t xml:space="preserve">measures complete pipeline dependence rather than a causal effect of replacing</w:t>
      </w:r>
      <w:r>
        <w:t xml:space="preserve"> </w:t>
      </w:r>
      <w:r>
        <w:t xml:space="preserve">labels alone. The available 2020–2021 WorldCover diagnostic is neither fully</w:t>
      </w:r>
      <w:r>
        <w:t xml:space="preserve"> </w:t>
      </w:r>
      <w:r>
        <w:t xml:space="preserve">independent nor authoritative, and no local reference change sample or observed</w:t>
      </w:r>
      <w:r>
        <w:t xml:space="preserve"> </w:t>
      </w:r>
      <w:r>
        <w:t xml:space="preserve">2026–2031 label exists. The original headline analysis also uses a 31 July 2026 OSM road snapshot,</w:t>
      </w:r>
      <w:r>
        <w:t xml:space="preserve"> </w:t>
      </w:r>
      <w:r>
        <w:t xml:space="preserve">which may contain roads constructed after 2022. Sharing this information does not guarantee an unchanged model ordering,</w:t>
      </w:r>
      <w:r>
        <w:t xml:space="preserve"> </w:t>
      </w:r>
      <w:r>
        <w:t xml:space="preserve">because learners can exploit it differently; the strict rolling-origin analysis removes those road</w:t>
      </w:r>
      <w:r>
        <w:t xml:space="preserve"> </w:t>
      </w:r>
      <w:r>
        <w:t xml:space="preserve">features and should define the no-leakage boundary. As a descriptive bound,</w:t>
      </w:r>
      <w:r>
        <w:t xml:space="preserve"> </w:t>
      </w:r>
      <w:r>
        <w:t xml:space="preserve">the road-free rolling 2023 one-step FoM is 0.2116, of the same order as the</w:t>
      </w:r>
      <w:r>
        <w:t xml:space="preserve"> </w:t>
      </w:r>
      <w:r>
        <w:t xml:space="preserve">headline 2023 value of 0.1961; these values are not directly comparable because</w:t>
      </w:r>
      <w:r>
        <w:t xml:space="preserve"> </w:t>
      </w:r>
      <w:r>
        <w:t xml:space="preserve">the rolling fit uses 23 features and training through 2022, whereas the headline</w:t>
      </w:r>
      <w:r>
        <w:t xml:space="preserve"> </w:t>
      </w:r>
      <w:r>
        <w:t xml:space="preserve">fit uses 25 features and training through 2021. Public wetland and</w:t>
      </w:r>
      <w:r>
        <w:t xml:space="preserve"> </w:t>
      </w:r>
      <w:r>
        <w:t xml:space="preserve">protected-area layers are proxies, future drivers are held at the respective</w:t>
      </w:r>
      <w:r>
        <w:t xml:space="preserve"> </w:t>
      </w:r>
      <w:r>
        <w:t xml:space="preserve">2024 or 2025 origin-year values, and the</w:t>
      </w:r>
      <w:r>
        <w:t xml:space="preserve"> </w:t>
      </w:r>
      <w:r>
        <w:t xml:space="preserve">green-priority action has no water-budget constraint. The FLUS-style</w:t>
      </w:r>
      <w:r>
        <w:t xml:space="preserve"> </w:t>
      </w:r>
      <w:r>
        <w:t xml:space="preserve">control is an Apple-Silicon binary rebuilt from the public GeoSOS source base</w:t>
      </w:r>
      <w:r>
        <w:t xml:space="preserve"> </w:t>
      </w:r>
      <w:r>
        <w:t xml:space="preserve">with the author’s</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 its</w:t>
      </w:r>
      <w:r>
        <w:t xml:space="preserve"> </w:t>
      </w:r>
      <w:r>
        <w:t xml:space="preserve">headline comparison uses seven drivers.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Start w:id="51" w:name="Xc747f5f68438c4d1b672214b96bce9a17077e90"/>
    <w:p>
      <w:pPr>
        <w:pStyle w:val="Heading3"/>
      </w:pPr>
      <w:r>
        <w:t xml:space="preserve">Implications for planning use and validation</w:t>
      </w:r>
    </w:p>
    <w:p>
      <w:pPr>
        <w:pStyle w:val="FirstParagraph"/>
      </w:pPr>
      <w:r>
        <w:t xml:space="preserve">The practical role of this protocol is to expose where a public-data scenario</w:t>
      </w:r>
      <w:r>
        <w:t xml:space="preserve"> </w:t>
      </w:r>
      <w:r>
        <w:t xml:space="preserve">depends on observational definitions and allocation restrictions before a</w:t>
      </w:r>
      <w:r>
        <w:t xml:space="preserve"> </w:t>
      </w:r>
      <w:r>
        <w:t xml:space="preserve">planner treats its map as evidence. Stable frontier membership is insufficient</w:t>
      </w:r>
      <w:r>
        <w:t xml:space="preserve"> </w:t>
      </w:r>
      <w:r>
        <w:t xml:space="preserve">for selecting a site or infrastructure corridor: a decision also requires the</w:t>
      </w:r>
      <w:r>
        <w:t xml:space="preserve"> </w:t>
      </w:r>
      <w:r>
        <w:t xml:space="preserve">spatial overlap and disagreement of new-built locations, feasible water and</w:t>
      </w:r>
      <w:r>
        <w:t xml:space="preserve"> </w:t>
      </w:r>
      <w:r>
        <w:t xml:space="preserve">infrastructure demands, and the magnitude of the objective differences. These</w:t>
      </w:r>
      <w:r>
        <w:t xml:space="preserve"> </w:t>
      </w:r>
      <w:r>
        <w:t xml:space="preserve">decision-level tests have not been completed here. The existing frontier is a</w:t>
      </w:r>
      <w:r>
        <w:t xml:space="preserve"> </w:t>
      </w:r>
      <w:r>
        <w:t xml:space="preserve">conditional comparison of three implementations, not a search over all feasible</w:t>
      </w:r>
      <w:r>
        <w:t xml:space="preserve"> </w:t>
      </w:r>
      <w:r>
        <w:t xml:space="preserve">plans or a recommendation that either retained model should determine land use.</w:t>
      </w:r>
    </w:p>
    <w:p>
      <w:pPr>
        <w:pStyle w:val="BodyText"/>
      </w:pPr>
      <w:r>
        <w:t xml:space="preserve">The next validation step should use a spatially stratified reference sample of</w:t>
      </w:r>
      <w:r>
        <w:t xml:space="preserve"> </w:t>
      </w:r>
      <w:r>
        <w:t xml:space="preserve">product-agreement changes, product-disagreement changes and stable cells, assessed</w:t>
      </w:r>
      <w:r>
        <w:t xml:space="preserve"> </w:t>
      </w:r>
      <w:r>
        <w:t xml:space="preserve">from contemporaneous independent imagery or locally approved records. Reference</w:t>
      </w:r>
      <w:r>
        <w:t xml:space="preserve"> </w:t>
      </w:r>
      <w:r>
        <w:t xml:space="preserve">interpretation should be blinded to model identity, record ambiguous cases and</w:t>
      </w:r>
      <w:r>
        <w:t xml:space="preserve"> </w:t>
      </w:r>
      <w:r>
        <w:t xml:space="preserve">report sampling weights and class-specific gain/loss accuracy. In parallel, a</w:t>
      </w:r>
      <w:r>
        <w:t xml:space="preserve"> </w:t>
      </w:r>
      <w:r>
        <w:t xml:space="preserve">transition-budget allocator permitting simultaneous gain and loss should be</w:t>
      </w:r>
      <w:r>
        <w:t xml:space="preserve"> </w:t>
      </w:r>
      <w:r>
        <w:t xml:space="preserve">compared with the minimum-change projection under the same proposal and masks.</w:t>
      </w:r>
      <w:r>
        <w:t xml:space="preserve"> </w:t>
      </w:r>
      <w:r>
        <w:t xml:space="preserve">Neither independent reference validation nor this gross-transition experiment</w:t>
      </w:r>
      <w:r>
        <w:t xml:space="preserve"> </w:t>
      </w:r>
      <w:r>
        <w:t xml:space="preserve">has been performed. They are requirements for extending the present conditional</w:t>
      </w:r>
      <w:r>
        <w:t xml:space="preserve"> </w:t>
      </w:r>
      <w:r>
        <w:t xml:space="preserve">allocation findings to operational planning claims.</w:t>
      </w:r>
    </w:p>
    <w:bookmarkEnd w:id="51"/>
    <w:bookmarkEnd w:id="52"/>
    <w:bookmarkStart w:id="53" w:name="conclusions"/>
    <w:p>
      <w:pPr>
        <w:pStyle w:val="Heading2"/>
      </w:pPr>
      <w:r>
        <w:t xml:space="preserve">Conclusions</w:t>
      </w:r>
    </w:p>
    <w:p>
      <w:pPr>
        <w:pStyle w:val="FirstParagraph"/>
      </w:pPr>
      <w:r>
        <w:t xml:space="preserve">Replacing Dynamic World with a newer ArcGIS-served 10-m annual product did not</w:t>
      </w:r>
      <w:r>
        <w:t xml:space="preserve"> </w:t>
      </w:r>
      <w:r>
        <w:t xml:space="preserve">simply raise or lower every score. It changed mapped built stock, transition</w:t>
      </w:r>
      <w:r>
        <w:t xml:space="preserve"> </w:t>
      </w:r>
      <w:r>
        <w:t xml:space="preserve">prevalence and the leading model by year. Geospatial Kernel remained consistently</w:t>
      </w:r>
      <w:r>
        <w:t xml:space="preserve"> </w:t>
      </w:r>
      <w:r>
        <w:t xml:space="preserve">better than random minimum-change allocation, but it was not universally the</w:t>
      </w:r>
      <w:r>
        <w:t xml:space="preserve"> </w:t>
      </w:r>
      <w:r>
        <w:t xml:space="preserve">best learned model. Its strongest transferable property in this experiment is</w:t>
      </w:r>
      <w:r>
        <w:t xml:space="preserve"> </w:t>
      </w:r>
      <w:r>
        <w:t xml:space="preserve">therefore the auditable separation of learned proposal, constrained projection</w:t>
      </w:r>
      <w:r>
        <w:t xml:space="preserve"> </w:t>
      </w:r>
      <w:r>
        <w:t xml:space="preserve">and state writeback, not a product-independent accuracy claim. The count-only bounds further show</w:t>
      </w:r>
      <w:r>
        <w:t xml:space="preserve"> </w:t>
      </w:r>
      <w:r>
        <w:t xml:space="preserve">that net-change allocation can suppress much of the gross change represented by</w:t>
      </w:r>
      <w:r>
        <w:t xml:space="preserve"> </w:t>
      </w:r>
      <w:r>
        <w:t xml:space="preserve">a product; future work must separate that restriction from proposal-model skill.</w:t>
      </w:r>
    </w:p>
    <w:p>
      <w:pPr>
        <w:pStyle w:val="BodyText"/>
      </w:pPr>
      <w:r>
        <w:t xml:space="preserve">The refreshed series adds a 2025 public origin state, native-10-m audit rasters</w:t>
      </w:r>
      <w:r>
        <w:t xml:space="preserve"> </w:t>
      </w:r>
      <w:r>
        <w:t xml:space="preserve">and complete 2026–2031 raster and vector scenario deliveries. Model execution</w:t>
      </w:r>
      <w:r>
        <w:t xml:space="preserve"> </w:t>
      </w:r>
      <w:r>
        <w:t xml:space="preserve">remains at 100 m, and both future bundles are conditional stress tests. A valid</w:t>
      </w:r>
      <w:r>
        <w:t xml:space="preserve"> </w:t>
      </w:r>
      <w:r>
        <w:t xml:space="preserve">operational forecast still requires locally approved land-use history, planning</w:t>
      </w:r>
      <w:r>
        <w:t xml:space="preserve"> </w:t>
      </w:r>
      <w:r>
        <w:t xml:space="preserve">constraints, demand assumptions and an independent change-validation design.</w:t>
      </w:r>
    </w:p>
    <w:bookmarkEnd w:id="53"/>
    <w:bookmarkStart w:id="54"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and</w:t>
      </w:r>
      <w:r>
        <w:t xml:space="preserve"> </w:t>
      </w:r>
      <w:r>
        <w:rPr>
          <w:rStyle w:val="VerbatimChar"/>
        </w:rPr>
        <w:t xml:space="preserve">benchmarks/abu_dhabi_land_use_v2/</w:t>
      </w:r>
      <w:r>
        <w:t xml:space="preserve"> </w:t>
      </w:r>
      <w:r>
        <w:t xml:space="preserve">in the accompanying repository. The ArcGIS-served cross-product source release is archived at Zenodo v2.0.0 (https://doi.org/10.5281/zenodo.22689057), corresponding to GitHub tag</w:t>
      </w:r>
      <w:r>
        <w:t xml:space="preserve"> </w:t>
      </w:r>
      <w:r>
        <w:rPr>
          <w:rStyle w:val="VerbatimChar"/>
        </w:rPr>
        <w:t xml:space="preserve">v2.0.0</w:t>
      </w:r>
      <w:r>
        <w:t xml:space="preserve"> </w:t>
      </w:r>
      <w:r>
        <w:t xml:space="preserve">at commit</w:t>
      </w:r>
      <w:r>
        <w:t xml:space="preserve"> </w:t>
      </w:r>
      <w:r>
        <w:rPr>
          <w:rStyle w:val="VerbatimChar"/>
        </w:rPr>
        <w:t xml:space="preserve">77e2c59</w:t>
      </w:r>
      <w:r>
        <w:t xml:space="preserve">; the version-independent concept DOI is https://doi.org/10.5281/zenodo.22663475. The v2 release is defined by</w:t>
      </w:r>
      <w:r>
        <w:t xml:space="preserve"> </w:t>
      </w:r>
      <w:r>
        <w:rPr>
          <w:rStyle w:val="VerbatimChar"/>
        </w:rPr>
        <w:t xml:space="preserve">reproducibility/MANIFEST.json</w:t>
      </w:r>
      <w:r>
        <w:t xml:space="preserve"> </w:t>
      </w:r>
      <w:r>
        <w:t xml:space="preserve">(immutable inputs, assets and code) and</w:t>
      </w:r>
      <w:r>
        <w:t xml:space="preserve"> </w:t>
      </w:r>
      <w:r>
        <w:rPr>
          <w:rStyle w:val="VerbatimChar"/>
        </w:rPr>
        <w:t xml:space="preserve">reproducibility/PUBLICATION_OUTPUTS.json</w:t>
      </w:r>
      <w:r>
        <w:t xml:space="preserve"> </w:t>
      </w:r>
      <w:r>
        <w:t xml:space="preserve">(reports, source data, figures and delivered rasters/vectors);</w:t>
      </w:r>
      <w:r>
        <w:t xml:space="preserve"> </w:t>
      </w:r>
      <w:r>
        <w:rPr>
          <w:rStyle w:val="VerbatimChar"/>
        </w:rPr>
        <w:t xml:space="preserve">reproducibility_check.py</w:t>
      </w:r>
      <w:r>
        <w:t xml:space="preserve"> </w:t>
      </w:r>
      <w:r>
        <w:t xml:space="preserve">verifies both sets. The Zenodo record contains GitHub’s automatically generated source ZIP, which was inspected after publication and contains Git LFS pointers rather than hydrated large rasters, GeoPackages and model checkpoints. A full numerical rerun therefore requires checking out the tagged GitHub repository, retrieving its LFS objects and passing both v2 manifest checks; the DOI record alone is not a self-contained binary-data archive.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planning_public_2025_2031_delivery_manifest_current.json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current raster audit;</w:t>
      </w:r>
      <w:r>
        <w:t xml:space="preserve"> </w:t>
      </w:r>
      <w:r>
        <w:rPr>
          <w:rStyle w:val="VerbatimChar"/>
        </w:rPr>
        <w:t xml:space="preserve">output_audit_reproducible.json</w:t>
      </w:r>
      <w:r>
        <w:t xml:space="preserve"> </w:t>
      </w:r>
      <w:r>
        <w:t xml:space="preserve">is a compatibility copy produced by the same run;</w:t>
      </w:r>
    </w:p>
    <w:p>
      <w:pPr>
        <w:pStyle w:val="Compact"/>
        <w:numPr>
          <w:ilvl w:val="0"/>
          <w:numId w:val="1002"/>
        </w:numPr>
      </w:pPr>
      <w:r>
        <w:rPr>
          <w:rStyle w:val="VerbatimChar"/>
        </w:rPr>
        <w:t xml:space="preserve">artifacts/rolling_backtest/report.json</w:t>
      </w:r>
      <w:r>
        <w:t xml:space="preserve"> </w:t>
      </w:r>
      <w:r>
        <w:t xml:space="preserve">and</w:t>
      </w:r>
      <w:r>
        <w:t xml:space="preserve"> </w:t>
      </w:r>
      <w:r>
        <w:rPr>
          <w:rStyle w:val="VerbatimChar"/>
        </w:rPr>
        <w:t xml:space="preserve">paired_spatial_uncertainty.json</w:t>
      </w:r>
      <w:r>
        <w:t xml:space="preserve"> </w:t>
      </w:r>
      <w:r>
        <w:t xml:space="preserve">for the four leakage-controlled one-step windows;</w:t>
      </w:r>
    </w:p>
    <w:p>
      <w:pPr>
        <w:pStyle w:val="Compact"/>
        <w:numPr>
          <w:ilvl w:val="0"/>
          <w:numId w:val="1002"/>
        </w:numPr>
      </w:pPr>
      <w:r>
        <w:rPr>
          <w:rStyle w:val="VerbatimChar"/>
        </w:rPr>
        <w:t xml:space="preserve">supplementary_table_S5_rolling_external_diagnostics.md</w:t>
      </w:r>
      <w:r>
        <w:t xml:space="preserve"> </w:t>
      </w:r>
      <w:r>
        <w:t xml:space="preserve">for the synchronized rolling and external-product table;</w:t>
      </w:r>
    </w:p>
    <w:p>
      <w:pPr>
        <w:pStyle w:val="Compact"/>
        <w:numPr>
          <w:ilvl w:val="0"/>
          <w:numId w:val="1002"/>
        </w:numPr>
      </w:pPr>
      <w:r>
        <w:rPr>
          <w:rStyle w:val="VerbatimChar"/>
        </w:rPr>
        <w:t xml:space="preserve">artifacts/external_validation/worldcover/</w:t>
      </w:r>
      <w:r>
        <w:t xml:space="preserve"> </w:t>
      </w:r>
      <w:r>
        <w:t xml:space="preserve">for frozen WorldCover built-fraction inputs, hashes and the external-product diagnostic;</w:t>
      </w:r>
    </w:p>
    <w:p>
      <w:pPr>
        <w:pStyle w:val="Compact"/>
        <w:numPr>
          <w:ilvl w:val="0"/>
          <w:numId w:val="1002"/>
        </w:numPr>
      </w:pPr>
      <w:r>
        <w:t xml:space="preserve">the v2 source manifest under</w:t>
      </w:r>
      <w:r>
        <w:t xml:space="preserve"> </w:t>
      </w:r>
      <w:r>
        <w:rPr>
          <w:rStyle w:val="VerbatimChar"/>
        </w:rPr>
        <w:t xml:space="preserve">artifacts/arcgis_sentinel2_landcover/</w:t>
      </w:r>
      <w:r>
        <w:t xml:space="preserve"> </w:t>
      </w:r>
      <w:r>
        <w:t xml:space="preserve">for service metadata, catalog records and downloaded-raster hashes;</w:t>
      </w:r>
    </w:p>
    <w:p>
      <w:pPr>
        <w:pStyle w:val="Compact"/>
        <w:numPr>
          <w:ilvl w:val="0"/>
          <w:numId w:val="1002"/>
        </w:numPr>
      </w:pPr>
      <w:r>
        <w:t xml:space="preserve">the v2 paired reports under</w:t>
      </w:r>
      <w:r>
        <w:t xml:space="preserve"> </w:t>
      </w:r>
      <w:r>
        <w:rPr>
          <w:rStyle w:val="VerbatimChar"/>
        </w:rPr>
        <w:t xml:space="preserve">artifacts/arcgis_v2_historical_backtest/</w:t>
      </w:r>
      <w:r>
        <w:t xml:space="preserve"> </w:t>
      </w:r>
      <w:r>
        <w:t xml:space="preserve">and</w:t>
      </w:r>
      <w:r>
        <w:t xml:space="preserve"> </w:t>
      </w:r>
      <w:r>
        <w:rPr>
          <w:rStyle w:val="VerbatimChar"/>
        </w:rPr>
        <w:t xml:space="preserve">artifacts/dynamic_world_matched_backtest/</w:t>
      </w:r>
      <w:r>
        <w:t xml:space="preserve"> </w:t>
      </w:r>
      <w:r>
        <w:t xml:space="preserve">for the two complete three-model expanding-window tracks;</w:t>
      </w:r>
    </w:p>
    <w:p>
      <w:pPr>
        <w:pStyle w:val="Compact"/>
        <w:numPr>
          <w:ilvl w:val="0"/>
          <w:numId w:val="1002"/>
        </w:numPr>
      </w:pPr>
      <w:r>
        <w:t xml:space="preserve">the v2 cross-product summary under</w:t>
      </w:r>
      <w:r>
        <w:t xml:space="preserve"> </w:t>
      </w:r>
      <w:r>
        <w:rPr>
          <w:rStyle w:val="VerbatimChar"/>
        </w:rPr>
        <w:t xml:space="preserve">results_arcgis_v2/paper_refresh/</w:t>
      </w:r>
      <w:r>
        <w:t xml:space="preserve"> </w:t>
      </w:r>
      <w:r>
        <w:t xml:space="preserve">and Supplementary Table S6 for the synchronized result;</w:t>
      </w:r>
    </w:p>
    <w:p>
      <w:pPr>
        <w:pStyle w:val="Compact"/>
        <w:numPr>
          <w:ilvl w:val="0"/>
          <w:numId w:val="1002"/>
        </w:numPr>
      </w:pPr>
      <w:r>
        <w:t xml:space="preserve">the v2</w:t>
      </w:r>
      <w:r>
        <w:t xml:space="preserve"> </w:t>
      </w:r>
      <w:r>
        <w:rPr>
          <w:rStyle w:val="VerbatimChar"/>
        </w:rPr>
        <w:t xml:space="preserve">results_arcgis_v2/ensembles/</w:t>
      </w:r>
      <w:r>
        <w:t xml:space="preserve"> </w:t>
      </w:r>
      <w:r>
        <w:t xml:space="preserve">and</w:t>
      </w:r>
      <w:r>
        <w:t xml:space="preserve"> </w:t>
      </w:r>
      <w:r>
        <w:rPr>
          <w:rStyle w:val="VerbatimChar"/>
        </w:rPr>
        <w:t xml:space="preserve">vectors/</w:t>
      </w:r>
      <w:r>
        <w:t xml:space="preserve"> </w:t>
      </w:r>
      <w:r>
        <w:t xml:space="preserve">directories for the 2026–2031 raster and change-footprint deliveries;</w:t>
      </w:r>
    </w:p>
    <w:p>
      <w:pPr>
        <w:pStyle w:val="Compact"/>
        <w:numPr>
          <w:ilvl w:val="0"/>
          <w:numId w:val="1002"/>
        </w:numPr>
      </w:pPr>
      <w:r>
        <w:t xml:space="preserve">the data-audit, protocol and source-input manifests for data provenance;</w:t>
      </w:r>
    </w:p>
    <w:p>
      <w:pPr>
        <w:pStyle w:val="Compact"/>
        <w:numPr>
          <w:ilvl w:val="0"/>
          <w:numId w:val="1002"/>
        </w:numPr>
      </w:pPr>
      <w:r>
        <w:t xml:space="preserve">The released bundle includes the aligned 2017–2024 public rasters, historical and rolling-origin prediction rasters, frozen WorldCover built-fraction rasters, 2025–2031 planning rasters, nine GeoPackages of dissolved change footprints, model checkpoints and the SHA-256 manifest. Text hashes use canonical LF line endings, and the byte-length check applies the same normalization on text records, so a Windows checkout with</w:t>
      </w:r>
      <w:r>
        <w:t xml:space="preserve"> </w:t>
      </w:r>
      <w:r>
        <w:rPr>
          <w:rStyle w:val="VerbatimChar"/>
        </w:rPr>
        <w:t xml:space="preserve">core.autocrlf=true</w:t>
      </w:r>
      <w:r>
        <w:t xml:space="preserve"> </w:t>
      </w:r>
      <w:r>
        <w:t xml:space="preserve">can pass the manifest gate. The locked macOS arm64 execution environment remains the reference for model outputs. An archived arm64 Linux rerun of the six historical Kernel rasters differed from the macOS reference by 498–1,147 cells (0.62%–1.44%), with strict-FoM deltas from -0.0023 to +0.0010; these cross-stack differences are quantified rather than treated as categorical identity. An author-controlled GitHub Actions Ubuntu x86_64 rerun of all six rasters under the resolved lock had zero categorical differences; the repository-stored CI audit is in</w:t>
      </w:r>
      <w:r>
        <w:t xml:space="preserve"> </w:t>
      </w:r>
      <w:r>
        <w:rPr>
          <w:rStyle w:val="VerbatimChar"/>
        </w:rPr>
        <w:t xml:space="preserve">artifacts/cross_platform</w:t>
      </w:r>
      <w:r>
        <w:t xml:space="preserve"> </w:t>
      </w:r>
      <w:r>
        <w:t xml:space="preserve">at commit</w:t>
      </w:r>
      <w:r>
        <w:t xml:space="preserve"> </w:t>
      </w:r>
      <w:r>
        <w:rPr>
          <w:rStyle w:val="VerbatimChar"/>
        </w:rPr>
        <w:t xml:space="preserve">e06a997</w:t>
      </w:r>
      <w:r>
        <w:t xml:space="preserve">, and the workflow is versioned under</w:t>
      </w:r>
      <w:r>
        <w:t xml:space="preserve"> </w:t>
      </w:r>
      <w:r>
        <w:rPr>
          <w:rStyle w:val="VerbatimChar"/>
        </w:rPr>
        <w:t xml:space="preserve">.github/workflows/</w:t>
      </w:r>
      <w:r>
        <w:t xml:space="preserve">. Independent external Windows evidence remains separately labelled for FLUS because the corresponding rasters are not archived locally. No private database address, credential or client-only service is included. Authoritative Abu Dhabi land-use and independent reference data remain outside this study.</w:t>
      </w:r>
    </w:p>
    <w:p>
      <w:pPr>
        <w:pStyle w:val="FirstParagraph"/>
      </w:pPr>
      <w:r>
        <w:t xml:space="preserve">The current working revision and the published v2.0.0 archive are distinct</w:t>
      </w:r>
      <w:r>
        <w:t xml:space="preserve"> </w:t>
      </w:r>
      <w:r>
        <w:t xml:space="preserve">versions. The published DOI continues to identify its original tagged inputs,</w:t>
      </w:r>
      <w:r>
        <w:t xml:space="preserve"> </w:t>
      </w:r>
      <w:r>
        <w:t xml:space="preserve">outputs and manuscript. The working revision adds a report-derived allocation-</w:t>
      </w:r>
      <w:r>
        <w:t xml:space="preserve"> </w:t>
      </w:r>
      <w:r>
        <w:t xml:space="preserve">limit analysis and revised interpretation without retraining models or replacing</w:t>
      </w:r>
      <w:r>
        <w:t xml:space="preserve"> </w:t>
      </w:r>
      <w:r>
        <w:t xml:space="preserve">the archived prediction rasters. Its separate working manifests and source hashes</w:t>
      </w:r>
      <w:r>
        <w:t xml:space="preserve"> </w:t>
      </w:r>
      <w:r>
        <w:t xml:space="preserve">are described in</w:t>
      </w:r>
      <w:r>
        <w:t xml:space="preserve"> </w:t>
      </w:r>
      <w:r>
        <w:rPr>
          <w:rStyle w:val="VerbatimChar"/>
        </w:rPr>
        <w:t xml:space="preserve">benchmarks/abu_dhabi_land_use_v2/reproducibility/WORKING_REVISION.md</w:t>
      </w:r>
      <w:r>
        <w:t xml:space="preserve">;</w:t>
      </w:r>
      <w:r>
        <w:t xml:space="preserve"> </w:t>
      </w:r>
      <w:r>
        <w:t xml:space="preserve">passing them verifies the declared revision, not a new DOI release.</w:t>
      </w:r>
    </w:p>
    <w:bookmarkEnd w:id="54"/>
    <w:bookmarkStart w:id="55" w:name="code-availability"/>
    <w:p>
      <w:pPr>
        <w:pStyle w:val="Heading2"/>
      </w:pPr>
      <w:r>
        <w:t xml:space="preserve">Code availability</w:t>
      </w:r>
    </w:p>
    <w:p>
      <w:pPr>
        <w:pStyle w:val="FirstParagraph"/>
      </w:pPr>
      <w:r>
        <w:t xml:space="preserve">The analysis scripts, a vendored Geospatial Kernel runtime snapshot, benchmark protocol, model runners and figure-generation code are maintained in the accompanying repository. Principal entry points are listed separately to keep the manuscript readable:</w:t>
      </w:r>
    </w:p>
    <w:p>
      <w:pPr>
        <w:pStyle w:val="Compact"/>
        <w:numPr>
          <w:ilvl w:val="0"/>
          <w:numId w:val="1003"/>
        </w:numPr>
      </w:pPr>
      <w:r>
        <w:rPr>
          <w:rStyle w:val="VerbatimChar"/>
        </w:rPr>
        <w:t xml:space="preserve">run_geospatial_kernel.py</w:t>
      </w:r>
      <w:r>
        <w:t xml:space="preserve"> </w:t>
      </w:r>
      <w:r>
        <w:t xml:space="preserve">for the Kernel historical run;</w:t>
      </w:r>
    </w:p>
    <w:p>
      <w:pPr>
        <w:pStyle w:val="Compact"/>
        <w:numPr>
          <w:ilvl w:val="0"/>
          <w:numId w:val="1003"/>
        </w:numPr>
      </w:pPr>
      <w:r>
        <w:rPr>
          <w:rStyle w:val="VerbatimChar"/>
        </w:rPr>
        <w:t xml:space="preserve">run_rolling_backtest.py</w:t>
      </w:r>
      <w:r>
        <w:t xml:space="preserve"> </w:t>
      </w:r>
      <w:r>
        <w:t xml:space="preserve">and</w:t>
      </w:r>
      <w:r>
        <w:t xml:space="preserve"> </w:t>
      </w:r>
      <w:r>
        <w:rPr>
          <w:rStyle w:val="VerbatimChar"/>
        </w:rPr>
        <w:t xml:space="preserve">run_rolling_uncertainty.py</w:t>
      </w:r>
      <w:r>
        <w:t xml:space="preserve"> </w:t>
      </w:r>
      <w:r>
        <w:t xml:space="preserve">for the expanding-window experiment and paired spatial-block intervals;</w:t>
      </w:r>
    </w:p>
    <w:p>
      <w:pPr>
        <w:pStyle w:val="Compact"/>
        <w:numPr>
          <w:ilvl w:val="0"/>
          <w:numId w:val="1003"/>
        </w:numPr>
      </w:pPr>
      <w:r>
        <w:rPr>
          <w:rStyle w:val="VerbatimChar"/>
        </w:rPr>
        <w:t xml:space="preserve">materialize_worldcover_validation.py</w:t>
      </w:r>
      <w:r>
        <w:t xml:space="preserve"> </w:t>
      </w:r>
      <w:r>
        <w:t xml:space="preserve">for frozen WorldCover inputs;</w:t>
      </w:r>
    </w:p>
    <w:p>
      <w:pPr>
        <w:pStyle w:val="Compact"/>
        <w:numPr>
          <w:ilvl w:val="0"/>
          <w:numId w:val="1003"/>
        </w:numPr>
      </w:pPr>
      <w:r>
        <w:rPr>
          <w:rStyle w:val="VerbatimChar"/>
        </w:rPr>
        <w:t xml:space="preserve">run_worldcover_external_diagnostic.py</w:t>
      </w:r>
      <w:r>
        <w:t xml:space="preserve"> </w:t>
      </w:r>
      <w:r>
        <w:t xml:space="preserve">for the agreement diagnostic;</w:t>
      </w:r>
    </w:p>
    <w:p>
      <w:pPr>
        <w:pStyle w:val="Compact"/>
        <w:numPr>
          <w:ilvl w:val="0"/>
          <w:numId w:val="1003"/>
        </w:numPr>
      </w:pPr>
      <w:r>
        <w:t xml:space="preserve">the vendored</w:t>
      </w:r>
      <w:r>
        <w:t xml:space="preserve"> </w:t>
      </w:r>
      <w:r>
        <w:rPr>
          <w:rStyle w:val="VerbatimChar"/>
        </w:rPr>
        <w:t xml:space="preserve">geospatial_kernel/runtime.py</w:t>
      </w:r>
      <w:r>
        <w:t xml:space="preserve"> </w:t>
      </w:r>
      <w:r>
        <w:t xml:space="preserve">snapshot;</w:t>
      </w:r>
    </w:p>
    <w:p>
      <w:pPr>
        <w:pStyle w:val="Compact"/>
        <w:numPr>
          <w:ilvl w:val="0"/>
          <w:numId w:val="1003"/>
        </w:numPr>
      </w:pPr>
      <w:r>
        <w:rPr>
          <w:rStyle w:val="VerbatimChar"/>
        </w:rPr>
        <w:t xml:space="preserve">render_nature_figures.py</w:t>
      </w:r>
      <w:r>
        <w:t xml:space="preserve"> </w:t>
      </w:r>
      <w:r>
        <w:t xml:space="preserve">and</w:t>
      </w:r>
      <w:r>
        <w:t xml:space="preserve"> </w:t>
      </w:r>
      <w:r>
        <w:rPr>
          <w:rStyle w:val="VerbatimChar"/>
        </w:rPr>
        <w:t xml:space="preserve">render_rolling_validation_figure.py</w:t>
      </w:r>
      <w:r>
        <w:t xml:space="preserve"> </w:t>
      </w:r>
      <w:r>
        <w:t xml:space="preserve">for publication artwork;</w:t>
      </w:r>
    </w:p>
    <w:p>
      <w:pPr>
        <w:pStyle w:val="Compact"/>
        <w:numPr>
          <w:ilvl w:val="0"/>
          <w:numId w:val="1003"/>
        </w:numPr>
      </w:pPr>
      <w:r>
        <w:rPr>
          <w:rStyle w:val="VerbatimChar"/>
        </w:rPr>
        <w:t xml:space="preserve">source_data_fig03_rolling_external_diagnostics.csv</w:t>
      </w:r>
      <w:r>
        <w:t xml:space="preserve"> </w:t>
      </w:r>
      <w:r>
        <w:t xml:space="preserve">for the quantitative source data behind Fig. 3.</w:t>
      </w:r>
    </w:p>
    <w:p>
      <w:pPr>
        <w:pStyle w:val="Compact"/>
        <w:numPr>
          <w:ilvl w:val="0"/>
          <w:numId w:val="1003"/>
        </w:numPr>
      </w:pPr>
      <w:r>
        <w:rPr>
          <w:rStyle w:val="VerbatimChar"/>
        </w:rPr>
        <w:t xml:space="preserve">run_arcgis_historical_backtest.py</w:t>
      </w:r>
      <w:r>
        <w:t xml:space="preserve"> </w:t>
      </w:r>
      <w:r>
        <w:t xml:space="preserve">for both leakage-controlled product tracks;</w:t>
      </w:r>
    </w:p>
    <w:p>
      <w:pPr>
        <w:pStyle w:val="Compact"/>
        <w:numPr>
          <w:ilvl w:val="0"/>
          <w:numId w:val="1003"/>
        </w:numPr>
      </w:pPr>
      <w:r>
        <w:rPr>
          <w:rStyle w:val="VerbatimChar"/>
        </w:rPr>
        <w:t xml:space="preserve">analyze_product_robustness.py</w:t>
      </w:r>
      <w:r>
        <w:t xml:space="preserve">,</w:t>
      </w:r>
      <w:r>
        <w:t xml:space="preserve"> </w:t>
      </w:r>
      <w:r>
        <w:rPr>
          <w:rStyle w:val="VerbatimChar"/>
        </w:rPr>
        <w:t xml:space="preserve">source_data_fig04_product_robustness.csv</w:t>
      </w:r>
      <w:r>
        <w:t xml:space="preserve"> </w:t>
      </w:r>
      <w:r>
        <w:t xml:space="preserve">and</w:t>
      </w:r>
      <w:r>
        <w:t xml:space="preserve"> </w:t>
      </w:r>
      <w:r>
        <w:rPr>
          <w:rStyle w:val="VerbatimChar"/>
        </w:rPr>
        <w:t xml:space="preserve">supplementary_table_S6_product_robustness.md</w:t>
      </w:r>
      <w:r>
        <w:t xml:space="preserve"> </w:t>
      </w:r>
      <w:r>
        <w:t xml:space="preserve">for the cross-product analysis;</w:t>
      </w:r>
    </w:p>
    <w:p>
      <w:pPr>
        <w:pStyle w:val="Compact"/>
        <w:numPr>
          <w:ilvl w:val="0"/>
          <w:numId w:val="1003"/>
        </w:numPr>
      </w:pPr>
      <w:r>
        <w:rPr>
          <w:rStyle w:val="VerbatimChar"/>
        </w:rPr>
        <w:t xml:space="preserve">reproducibility/reproduce.py</w:t>
      </w:r>
      <w:r>
        <w:t xml:space="preserve"> </w:t>
      </w:r>
      <w:r>
        <w:t xml:space="preserve">for the end-to-end rerun;</w:t>
      </w:r>
    </w:p>
    <w:p>
      <w:pPr>
        <w:pStyle w:val="Compact"/>
        <w:numPr>
          <w:ilvl w:val="0"/>
          <w:numId w:val="1003"/>
        </w:numPr>
      </w:pPr>
      <w:r>
        <w:rPr>
          <w:rStyle w:val="VerbatimChar"/>
        </w:rPr>
        <w:t xml:space="preserve">reproducibility_check.py</w:t>
      </w:r>
      <w:r>
        <w:t xml:space="preserve"> </w:t>
      </w:r>
      <w:r>
        <w:t xml:space="preserve">and</w:t>
      </w:r>
      <w:r>
        <w:t xml:space="preserve"> </w:t>
      </w:r>
      <w:r>
        <w:rPr>
          <w:rStyle w:val="VerbatimChar"/>
        </w:rPr>
        <w:t xml:space="preserve">audit_outputs.py</w:t>
      </w:r>
      <w:r>
        <w:t xml:space="preserve"> </w:t>
      </w:r>
      <w:r>
        <w:t xml:space="preserve">for fail-closed integrity checks.</w:t>
      </w:r>
    </w:p>
    <w:p>
      <w:pPr>
        <w:pStyle w:val="FirstParagraph"/>
      </w:pPr>
      <w:r>
        <w:t xml:space="preserve">GeoFM-LDN source and the three fixed checkpoints are included in the benchmark</w:t>
      </w:r>
      <w:r>
        <w:t xml:space="preserve"> </w:t>
      </w:r>
      <w:r>
        <w:t xml:space="preserve">external and prediction-artifact directories.</w:t>
      </w:r>
      <w:r>
        <w:t xml:space="preserve"> </w:t>
      </w:r>
      <w:r>
        <w:t xml:space="preserve">Earlier internal reference outputs, produced before the dependency lock was</w:t>
      </w:r>
      <w:r>
        <w:t xml:space="preserve"> </w:t>
      </w:r>
      <w:r>
        <w:t xml:space="preserve">completed, could not be regenerated under the resolved environment and were</w:t>
      </w:r>
      <w:r>
        <w:t xml:space="preserve"> </w:t>
      </w:r>
      <w:r>
        <w:t xml:space="preserve">superseded by the locked-environment rerun reported here. Historical strict-FoM</w:t>
      </w:r>
      <w:r>
        <w:t xml:space="preserve"> </w:t>
      </w:r>
      <w:r>
        <w:t xml:space="preserve">differences were at approximately the 0.001 level; discrete multi-year planning</w:t>
      </w:r>
      <w:r>
        <w:t xml:space="preserve"> </w:t>
      </w:r>
      <w:r>
        <w:t xml:space="preserve">ensemble demand errors changed more substantially and are reported here only</w:t>
      </w:r>
      <w:r>
        <w:t xml:space="preserve"> </w:t>
      </w:r>
      <w:r>
        <w:t xml:space="preserve">from the locked-environment rerun. The prior outputs remain Git-history lineage,</w:t>
      </w:r>
      <w:r>
        <w:t xml:space="preserve"> </w:t>
      </w:r>
      <w:r>
        <w:t xml:space="preserve">not current evidence.</w:t>
      </w:r>
      <w:r>
        <w:t xml:space="preserve"> </w:t>
      </w:r>
      <w:r>
        <w:t xml:space="preserve">The vendored FLUS executable is a macOS arm64 binary rebuilt from the GeoSOS</w:t>
      </w:r>
      <w:r>
        <w:t xml:space="preserve"> </w:t>
      </w:r>
      <w:r>
        <w:t xml:space="preserve">public FLUS source base. The author-modified source, including</w:t>
      </w:r>
      <w:r>
        <w:t xml:space="preserve"> </w:t>
      </w:r>
      <w:r>
        <w:rPr>
          <w:rStyle w:val="VerbatimChar"/>
        </w:rPr>
        <w:t xml:space="preserve">train-update</w:t>
      </w:r>
      <w:r>
        <w:t xml:space="preserve"> </w:t>
      </w:r>
      <w:r>
        <w:t xml:space="preserve">and</w:t>
      </w:r>
      <w:r>
        <w:t xml:space="preserve"> </w:t>
      </w:r>
      <w:r>
        <w:rPr>
          <w:rStyle w:val="VerbatimChar"/>
        </w:rPr>
        <w:t xml:space="preserve">FLUS_RANDOM_SEED</w:t>
      </w:r>
      <w:r>
        <w:t xml:space="preserve">, is archived at</w:t>
      </w:r>
      <w:r>
        <w:t xml:space="preserve"> </w:t>
      </w:r>
      <w:r>
        <w:t xml:space="preserve">the public FLUS source repository, tag</w:t>
      </w:r>
      <w:r>
        <w:t xml:space="preserve"> </w:t>
      </w:r>
      <w:r>
        <w:rPr>
          <w:rStyle w:val="VerbatimChar"/>
        </w:rPr>
        <w:t xml:space="preserve">paper-benchmark-flus-v1.1</w:t>
      </w:r>
      <w:r>
        <w:t xml:space="preserve"> </w:t>
      </w:r>
      <w:r>
        <w:t xml:space="preserve">at commit</w:t>
      </w:r>
      <w:r>
        <w:t xml:space="preserve"> </w:t>
      </w:r>
      <w:r>
        <w:rPr>
          <w:rStyle w:val="VerbatimChar"/>
        </w:rPr>
        <w:t xml:space="preserve">47e65b3</w:t>
      </w:r>
      <w:r>
        <w:t xml:space="preserve"> </w:t>
      </w:r>
      <w:r>
        <w:t xml:space="preserve">(the GeoSOS source release and Liu et al. (2017) are cited above). Rebuilding</w:t>
      </w:r>
      <w:r>
        <w:t xml:space="preserve"> </w:t>
      </w:r>
      <w:r>
        <w:t xml:space="preserve">the preceding v1 commit (</w:t>
      </w:r>
      <w:r>
        <w:rPr>
          <w:rStyle w:val="VerbatimChar"/>
        </w:rPr>
        <w:t xml:space="preserve">deb0a54</w:t>
      </w:r>
      <w:r>
        <w:t xml:space="preserve">) on macOS arm64 produced SHA-256</w:t>
      </w:r>
      <w:r>
        <w:t xml:space="preserve"> </w:t>
      </w:r>
      <w:r>
        <w:rPr>
          <w:rStyle w:val="VerbatimChar"/>
        </w:rPr>
        <w:t xml:space="preserve">9839ce50950442d4ef49e4d2129a1ba27735e1955c2d4975ae51067c1c3c9964</w:t>
      </w:r>
      <w:r>
        <w:t xml:space="preserve">,</w:t>
      </w:r>
      <w:r>
        <w:t xml:space="preserve"> </w:t>
      </w:r>
      <w:r>
        <w:t xml:space="preserve">identical to the vendored executable. Version v1.1 changes only invalid-input</w:t>
      </w:r>
      <w:r>
        <w:t xml:space="preserve"> </w:t>
      </w:r>
      <w:r>
        <w:t xml:space="preserve">failure handling and leaves valid-input algorithmic paths unchanged; the</w:t>
      </w:r>
      <w:r>
        <w:t xml:space="preserve"> </w:t>
      </w:r>
      <w:r>
        <w:t xml:space="preserve">normal-output equivalence check is archived with the source release.</w:t>
      </w:r>
      <w:r>
        <w:t xml:space="preserve"> </w:t>
      </w:r>
      <w:r>
        <w:t xml:space="preserve">The tagged author-modified source can also be built on Linux and Windows using</w:t>
      </w:r>
      <w:r>
        <w:t xml:space="preserve"> </w:t>
      </w:r>
      <w:r>
        <w:t xml:space="preserve">the repository instructions.</w:t>
      </w:r>
      <w:r>
        <w:t xml:space="preserve"> </w:t>
      </w:r>
      <w:r>
        <w:rPr>
          <w:rStyle w:val="VerbatimChar"/>
        </w:rPr>
        <w:t xml:space="preserve">FLUS_RANDOM_SEED</w:t>
      </w:r>
      <w:r>
        <w:t xml:space="preserve"> </w:t>
      </w:r>
      <w:r>
        <w:t xml:space="preserve">guarantees determinism only</w:t>
      </w:r>
      <w:r>
        <w:t xml:space="preserve"> </w:t>
      </w:r>
      <w:r>
        <w:t xml:space="preserve">within a platform and build environment because ANN sampling and CA roulette</w:t>
      </w:r>
      <w:r>
        <w:t xml:space="preserve"> </w:t>
      </w:r>
      <w:r>
        <w:t xml:space="preserve">draws use platform-defined C</w:t>
      </w:r>
      <w:r>
        <w:t xml:space="preserve"> </w:t>
      </w:r>
      <w:r>
        <w:rPr>
          <w:rStyle w:val="VerbatimChar"/>
        </w:rPr>
        <w:t xml:space="preserve">rand()</w:t>
      </w:r>
      <w:r>
        <w:t xml:space="preserve">/</w:t>
      </w:r>
      <w:r>
        <w:rPr>
          <w:rStyle w:val="VerbatimChar"/>
        </w:rPr>
        <w:t xml:space="preserve">srand()</w:t>
      </w:r>
      <w:r>
        <w:t xml:space="preserve"> </w:t>
      </w:r>
      <w:r>
        <w:t xml:space="preserve">streams. Independent external</w:t>
      </w:r>
      <w:r>
        <w:t xml:space="preserve"> </w:t>
      </w:r>
      <w:r>
        <w:t xml:space="preserve">Windows FLUS verification, including the seven-driver cross-platform difference</w:t>
      </w:r>
      <w:r>
        <w:t xml:space="preserve"> </w:t>
      </w:r>
      <w:r>
        <w:t xml:space="preserve">and the 25-feature zero-change outcome, is documented with its provenance</w:t>
      </w:r>
      <w:r>
        <w:t xml:space="preserve"> </w:t>
      </w:r>
      <w:r>
        <w:t xml:space="preserve">limitation in Supplementary Table S3. Windows execution requires the benchmark</w:t>
      </w:r>
      <w:r>
        <w:t xml:space="preserve"> </w:t>
      </w:r>
      <w:r>
        <w:t xml:space="preserve">and working directories to use pure ASCII paths; saving configuration files as</w:t>
      </w:r>
      <w:r>
        <w:t xml:space="preserve"> </w:t>
      </w:r>
      <w:r>
        <w:t xml:space="preserve">UTF-8 alone does not repair GDAL path decoding. A compatible local build is required to</w:t>
      </w:r>
      <w:r>
        <w:t xml:space="preserve"> </w:t>
      </w:r>
      <w:r>
        <w:t xml:space="preserve">execute the FLUS track outside macOS arm64 and will produce a different random</w:t>
      </w:r>
      <w:r>
        <w:t xml:space="preserve"> </w:t>
      </w:r>
      <w:r>
        <w:t xml:space="preserve">stream. The macOS binary SHA statement is an author self-check. As an</w:t>
      </w:r>
      <w:r>
        <w:t xml:space="preserve"> </w:t>
      </w:r>
      <w:r>
        <w:t xml:space="preserve">upstream-only fallback, the public FLUS CA source can be paired with an open</w:t>
      </w:r>
      <w:r>
        <w:t xml:space="preserve"> </w:t>
      </w:r>
      <w:r>
        <w:t xml:space="preserve">Python ANN implementation, but the unmodified upstream CA uses time seeding</w:t>
      </w:r>
      <w:r>
        <w:t xml:space="preserve"> </w:t>
      </w:r>
      <w:r>
        <w:t xml:space="preserve">rather than</w:t>
      </w:r>
      <w:r>
        <w:t xml:space="preserve"> </w:t>
      </w:r>
      <w:r>
        <w:rPr>
          <w:rStyle w:val="VerbatimChar"/>
        </w:rPr>
        <w:t xml:space="preserve">FLUS_RANDOM_SEED</w:t>
      </w:r>
      <w:r>
        <w:t xml:space="preserve">. The corresponding-author e-mail is</w:t>
      </w:r>
      <w:r>
        <w:t xml:space="preserve"> </w:t>
      </w:r>
      <w:r>
        <w:rPr>
          <w:rStyle w:val="VerbatimChar"/>
        </w:rPr>
        <w:t xml:space="preserve">zhouning@freedotech.com</w:t>
      </w:r>
      <w:r>
        <w:t xml:space="preserve">. The versioned v2 source release is archived at</w:t>
      </w:r>
      <w:r>
        <w:t xml:space="preserve"> </w:t>
      </w:r>
      <w:r>
        <w:t xml:space="preserve">https://doi.org/10.5281/zenodo.22689057 and corresponds to GitHub tag</w:t>
      </w:r>
      <w:r>
        <w:t xml:space="preserve"> </w:t>
      </w:r>
      <w:r>
        <w:rPr>
          <w:rStyle w:val="VerbatimChar"/>
        </w:rPr>
        <w:t xml:space="preserve">v2.0.0</w:t>
      </w:r>
      <w:r>
        <w:t xml:space="preserve"> </w:t>
      </w:r>
      <w:r>
        <w:t xml:space="preserve">at commit</w:t>
      </w:r>
      <w:r>
        <w:t xml:space="preserve"> </w:t>
      </w:r>
      <w:r>
        <w:rPr>
          <w:rStyle w:val="VerbatimChar"/>
        </w:rPr>
        <w:t xml:space="preserve">77e2c59</w:t>
      </w:r>
      <w:r>
        <w:t xml:space="preserve">; the DOI identifies the public benchmark source release,</w:t>
      </w:r>
      <w:r>
        <w:t xml:space="preserve"> </w:t>
      </w:r>
      <w:r>
        <w:t xml:space="preserve">not the eventual journal article DOI. Hydrated Git LFS objects must be fetched</w:t>
      </w:r>
      <w:r>
        <w:t xml:space="preserve"> </w:t>
      </w:r>
      <w:r>
        <w:t xml:space="preserve">from the tagged repository for a full numerical rerun.</w:t>
      </w:r>
    </w:p>
    <w:bookmarkEnd w:id="55"/>
    <w:bookmarkStart w:id="56"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The author thanks the anonymous reviewers for independent technical verification and constructive methodological comments.</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56"/>
    <w:bookmarkStart w:id="57"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Brumby, S. P., Guzder-Williams, B., Birch, T., Hyde, S. B., Mazzariello, J., Czerwinski, W., Pasquarella, V. J., Haertel, R., Ilyushchenko, S., Schwehr, K., Weisse, M., Stolle, F., Hanson, C., Guinan, O., Moore, R., &amp; Tait, A. M.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Brown, C. F., Kazmierski, M. R., Pasquarella, V. J., Rucklidge, W. J., Samsikova, M., Zhang, C., Shelhamer, E., Lahera, E., Wiles, O., Ilyushchenko, S., Gorelick, N., Zhang, L. L., Alj, S., Schechter, E., Askay, S., Guinan, O., Moore, R., Boukouvalas, A., &amp; Kohli, P. (2025). AlphaEarth Foundations: An embedding field model for accurate and efficient global mapping from sparse label data.</w:t>
      </w:r>
      <w:r>
        <w:t xml:space="preserve"> </w:t>
      </w:r>
      <w:r>
        <w:rPr>
          <w:i/>
          <w:iCs/>
        </w:rPr>
        <w:t xml:space="preserve">arXiv</w:t>
      </w:r>
      <w:r>
        <w:t xml:space="preserve">. https://doi.org/10.48550/arXiv.2507.22291</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Elvidge, C. D., Zhizhin, M., Ghosh, T., Hsu, F.-C., &amp; Taneja, J. (2021). Annual time series of global VIIRS nighttime lights derived from monthly averages: 2012 to 2019.</w:t>
      </w:r>
      <w:r>
        <w:t xml:space="preserve"> </w:t>
      </w:r>
      <w:r>
        <w:rPr>
          <w:i/>
          <w:iCs/>
        </w:rPr>
        <w:t xml:space="preserve">Remote Sensing</w:t>
      </w:r>
      <w:r>
        <w:t xml:space="preserve">, 13, 922. https://doi.org/10.3390/rs13050922</w:t>
      </w:r>
    </w:p>
    <w:p>
      <w:pPr>
        <w:pStyle w:val="BodyText"/>
      </w:pPr>
      <w:r>
        <w:t xml:space="preserve">European Space Agency. (2024). Copernicus DEM GLO-30: global 30 m digital elevation model [Data set]. Google Earth Engine Data Catalog. https://developers.google.com/earth-engine/datasets/catalog/COPERNICUS_DEM_GLO30_2024_1</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Impact Observatory, Microsoft, &amp; Esri. (2026). Sentinel-2 10m land cover time series of the world [Data set]. ArcGIS ImageServer. https://ic.imagery1.arcgis.com/arcgis/rest/services/Sentinel2_10m_LandCover/ImageServer (accessed 8 September 2026).</w:t>
      </w:r>
    </w:p>
    <w:p>
      <w:pPr>
        <w:pStyle w:val="BodyText"/>
      </w:pPr>
      <w:r>
        <w:t xml:space="preserve">Karra, K., Kontgis, C., Statman-Weil, Z., Mazzariello, J. C., Mathis, M., &amp; Brumby, S. P. (2021). Global land use/land cover with Sentinel 2 and deep learning.</w:t>
      </w:r>
      <w:r>
        <w:t xml:space="preserve"> </w:t>
      </w:r>
      <w:r>
        <w:rPr>
          <w:i/>
          <w:iCs/>
        </w:rPr>
        <w:t xml:space="preserve">2021 IEEE International Geoscience and Remote Sensing Symposium IGARSS</w:t>
      </w:r>
      <w:r>
        <w:t xml:space="preserve">, 4704–4707. https://doi.org/10.1109/IGARSS47720.2021.9553499</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Guan, Q., Clarke, K. C., Liu, S., Wang, B., &amp; Yao, Y. (2021). Understanding the drivers of sustainable land expansion using a patch-generating land use simulation (PLUS) model: A case study in Wuhan, China.</w:t>
      </w:r>
      <w:r>
        <w:t xml:space="preserve"> </w:t>
      </w:r>
      <w:r>
        <w:rPr>
          <w:i/>
          <w:iCs/>
        </w:rPr>
        <w:t xml:space="preserve">Computers, Environment and Urban Systems</w:t>
      </w:r>
      <w:r>
        <w:t xml:space="preserve">, 85, 101569. https://doi.org/10.1016/j.compenvurbsys.2020.101569</w:t>
      </w:r>
    </w:p>
    <w:p>
      <w:pPr>
        <w:pStyle w:val="BodyText"/>
      </w:pPr>
      <w:r>
        <w:t xml:space="preserve">Liu, X., Liang, X., Li, X., Xu, X., Ou, J., Chen, Y., Li, S., Wang, S., &amp; Pei, F.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OpenStreetMap contributors. (2026). OpenStreetMap data, Abu Dhabi relation R4479763 and Geofabrik GCC extract, accessed 31 July 2026. https://www.openstreetmap.org</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w:t>
      </w:r>
      <w:r>
        <w:t xml:space="preserve">, 12, 2825–2830. https://jmlr.org/papers/v12/pedregosa11a.html</w:t>
      </w:r>
    </w:p>
    <w:p>
      <w:pPr>
        <w:pStyle w:val="BodyText"/>
      </w:pPr>
      <w:r>
        <w:t xml:space="preserve">Pontius, R. G., Jr., Boersma, W., Castella, J.-C., Clarke, K., de Nijs, T., Dietzel, C., Duan, Z., Fotsing, E., Goldstein, N., Kok, K., Koomen, E., Lippitt, C. D., McConnell, W., Mohd Sood, A., Pijanowski, B., Pithadia, S., Sweeney, S., Trung, T. N., Veldkamp, A. T., &amp; Verburg, P. H. (2008). Comparing the input, output, and validation maps for several models of land change.</w:t>
      </w:r>
      <w:r>
        <w:t xml:space="preserve"> </w:t>
      </w:r>
      <w:r>
        <w:rPr>
          <w:i/>
          <w:iCs/>
        </w:rPr>
        <w:t xml:space="preserve">The Annals of Regional Science</w:t>
      </w:r>
      <w:r>
        <w:t xml:space="preserve">, 42, 11–37. https://doi.org/10.1007/s00168-007-0138-2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https://doi.org/10.1080/01431161.2011.552923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https://doi.org/10.1016/S0198-9715(01)00014-X</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&amp; Hagen-Zanker, A. (2011). Revisiting Kappa to account for change in the accuracy assessment of land-use change models.</w:t>
      </w:r>
      <w:r>
        <w:t xml:space="preserve"> </w:t>
      </w:r>
      <w:r>
        <w:rPr>
          <w:i/>
          <w:iCs/>
        </w:rPr>
        <w:t xml:space="preserve">Ecological Modelling</w:t>
      </w:r>
      <w:r>
        <w:t xml:space="preserve">, 222, 1367–1375. https://doi.org/10.1016/j.ecolmodel.2011.01.017</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Soepboer, W., Veldkamp, A., Limpiada, R., Espaldon, V., &amp; Mastura, S. S. A. (2002). Modeling the spatial dynamics of regional land use: the CLUE-S model.</w:t>
      </w:r>
      <w:r>
        <w:t xml:space="preserve"> </w:t>
      </w:r>
      <w:r>
        <w:rPr>
          <w:i/>
          <w:iCs/>
        </w:rPr>
        <w:t xml:space="preserve">Environmental Management</w:t>
      </w:r>
      <w:r>
        <w:t xml:space="preserve">, 30, 391–405. https://doi.org/10.1007/s00267-002-2630-x</w:t>
      </w:r>
    </w:p>
    <w:p>
      <w:pPr>
        <w:pStyle w:val="BodyText"/>
      </w:pPr>
      <w:r>
        <w:t xml:space="preserve">Zanaga, D., Van De Kerchove, R., De Keersmaecker, W., Souverijns, N., Brockmann, C., Quast, R., Wevers, J., Grosu, A., Paccini, A., Vergnaud, S., Cartus, O., Santoro, M., Fritz, S., Georgieva, I., Lesiv, M., Carter, S., Herold, M., Li, L., Tsendbazar, N.-E., Ramoino, F., &amp; Arino, O. (2021). ESA WorldCover 10 m 2020 v100 [Data set]. Zenodo. https://doi.org/10.5281/zenodo.5571936</w:t>
      </w:r>
    </w:p>
    <w:p>
      <w:pPr>
        <w:pStyle w:val="BodyText"/>
      </w:pPr>
      <w:r>
        <w:t xml:space="preserve">Zanaga, D., Van De Kerchove, R., Daems, D., De Keersmaecker, W., Brockmann, C., Kirches, G., Wevers, J., Cartus, O., Santoro, M., Fritz, S., Lesiv, M., Herold, M., Tsendbazar, N.-E., Xu, P., Ramoino, F., &amp; Arino, O. (2022). ESA WorldCover 10 m 2021 v200 [Data set]. Zenodo. https://doi.org/10.5281/zenodo.7254221</w:t>
      </w:r>
    </w:p>
    <w:bookmarkEnd w:id="57"/>
    <w:bookmarkStart w:id="58"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4"/>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4"/>
        </w:numPr>
      </w:pPr>
      <w:r>
        <w:rPr>
          <w:b/>
          <w:bCs/>
        </w:rPr>
        <w:t xml:space="preserve">Supplementary Table S4:</w:t>
      </w:r>
      <w:r>
        <w:t xml:space="preserve"> </w:t>
      </w:r>
      <w:r>
        <w:t xml:space="preserve">Raster and vector delivery audit, hashes and layer counts.</w:t>
      </w:r>
    </w:p>
    <w:p>
      <w:pPr>
        <w:pStyle w:val="Compact"/>
        <w:numPr>
          <w:ilvl w:val="0"/>
          <w:numId w:val="1004"/>
        </w:numPr>
      </w:pPr>
      <w:r>
        <w:rPr>
          <w:b/>
          <w:bCs/>
        </w:rPr>
        <w:t xml:space="preserve">Supplementary Table S5:</w:t>
      </w:r>
      <w:r>
        <w:t xml:space="preserve"> </w:t>
      </w:r>
      <w:r>
        <w:t xml:space="preserve">Rolling-origin and WorldCover external-product diagnostics (see</w:t>
      </w:r>
      <w:r>
        <w:t xml:space="preserve"> </w:t>
      </w:r>
      <w:r>
        <w:rPr>
          <w:rStyle w:val="VerbatimChar"/>
        </w:rPr>
        <w:t xml:space="preserve">supplementary_table_S5_rolling_external_diagnostics.md</w:t>
      </w:r>
      <w:r>
        <w:t xml:space="preserve">).</w:t>
      </w:r>
    </w:p>
    <w:p>
      <w:pPr>
        <w:pStyle w:val="Compact"/>
        <w:numPr>
          <w:ilvl w:val="0"/>
          <w:numId w:val="1004"/>
        </w:numPr>
      </w:pPr>
      <w:r>
        <w:rPr>
          <w:b/>
          <w:bCs/>
        </w:rPr>
        <w:t xml:space="preserve">Supplementary Table S6:</w:t>
      </w:r>
      <w:r>
        <w:t xml:space="preserve"> </w:t>
      </w:r>
      <w:r>
        <w:t xml:space="preserve">Matched Dynamic World and ArcGIS-served whole-product-pipeline backtests (see</w:t>
      </w:r>
      <w:r>
        <w:t xml:space="preserve"> </w:t>
      </w:r>
      <w:r>
        <w:rPr>
          <w:rStyle w:val="VerbatimChar"/>
        </w:rPr>
        <w:t xml:space="preserve">supplementary_table_S6_product_robustness.md</w:t>
      </w:r>
      <w:r>
        <w:t xml:space="preserve">).</w:t>
      </w:r>
    </w:p>
    <w:p>
      <w:pPr>
        <w:pStyle w:val="Compact"/>
        <w:numPr>
          <w:ilvl w:val="0"/>
          <w:numId w:val="1004"/>
        </w:numPr>
      </w:pPr>
      <w:r>
        <w:rPr>
          <w:b/>
          <w:bCs/>
        </w:rPr>
        <w:t xml:space="preserve">Supplementary Table S7:</w:t>
      </w:r>
      <w:r>
        <w:t xml:space="preserve"> </w:t>
      </w:r>
      <w:r>
        <w:t xml:space="preserve">Net-change FoM upper bounds and 54 seed-specific paired model intervals (see</w:t>
      </w:r>
      <w:r>
        <w:t xml:space="preserve"> </w:t>
      </w:r>
      <w:r>
        <w:rPr>
          <w:rStyle w:val="VerbatimChar"/>
        </w:rPr>
        <w:t xml:space="preserve">supplementary_table_S7_allocation_limits.md</w:t>
      </w:r>
      <w:r>
        <w:t xml:space="preserve">).</w:t>
      </w:r>
    </w:p>
    <w:p>
      <w:pPr>
        <w:pStyle w:val="Compact"/>
        <w:numPr>
          <w:ilvl w:val="0"/>
          <w:numId w:val="1004"/>
        </w:numPr>
      </w:pPr>
      <w:r>
        <w:rPr>
          <w:b/>
          <w:bCs/>
        </w:rPr>
        <w:t xml:space="preserve">Fig. S1:</w:t>
      </w:r>
      <w:r>
        <w:t xml:space="preserve"> </w:t>
      </w:r>
      <w:r>
        <w:t xml:space="preserve">Full 3-scenarios × 3-model 2031 new-built footprint atlas (</w:t>
      </w:r>
      <w:r>
        <w:rPr>
          <w:rStyle w:val="VerbatimChar"/>
        </w:rPr>
        <w:t xml:space="preserve">figures/figS01_planning_atlas_2031.*</w:t>
      </w:r>
      <w:r>
        <w:t xml:space="preserve">).</w:t>
      </w:r>
    </w:p>
    <w:p>
      <w:pPr>
        <w:pStyle w:val="Compact"/>
        <w:numPr>
          <w:ilvl w:val="0"/>
          <w:numId w:val="1004"/>
        </w:numPr>
      </w:pPr>
      <w:r>
        <w:rPr>
          <w:b/>
          <w:bCs/>
        </w:rPr>
        <w:t xml:space="preserve">Fig. S2:</w:t>
      </w:r>
      <w:r>
        <w:t xml:space="preserve"> </w:t>
      </w:r>
      <w:r>
        <w:t xml:space="preserve">Dynamic World confidence and high-confidence change sensitivity (</w:t>
      </w:r>
      <w:r>
        <w:rPr>
          <w:rStyle w:val="VerbatimChar"/>
        </w:rPr>
        <w:t xml:space="preserve">figures/figS02_input_label_quality.*</w:t>
      </w:r>
      <w:r>
        <w:t xml:space="preserve">).</w:t>
      </w:r>
    </w:p>
    <w:p>
      <w:pPr>
        <w:pStyle w:val="Compact"/>
        <w:numPr>
          <w:ilvl w:val="0"/>
          <w:numId w:val="1004"/>
        </w:numPr>
      </w:pPr>
      <w:r>
        <w:rPr>
          <w:b/>
          <w:bCs/>
        </w:rPr>
        <w:t xml:space="preserve">Fig. S3:</w:t>
      </w:r>
      <w:r>
        <w:t xml:space="preserve"> </w:t>
      </w:r>
      <w:r>
        <w:t xml:space="preserve">Historical maps and change-error maps for 2024 (</w:t>
      </w:r>
      <w:r>
        <w:rPr>
          <w:rStyle w:val="VerbatimChar"/>
        </w:rPr>
        <w:t xml:space="preserve">figures/figS03_historical_2024_maps_and_errors.*</w:t>
      </w:r>
      <w:r>
        <w:t xml:space="preserve">).</w:t>
      </w:r>
    </w:p>
    <w:p>
      <w:pPr>
        <w:pStyle w:val="Compact"/>
        <w:numPr>
          <w:ilvl w:val="0"/>
          <w:numId w:val="1004"/>
        </w:numPr>
      </w:pPr>
      <w:r>
        <w:rPr>
          <w:b/>
          <w:bCs/>
        </w:rPr>
        <w:t xml:space="preserve">Fig. S4:</w:t>
      </w:r>
      <w:r>
        <w:t xml:space="preserve"> </w:t>
      </w:r>
      <w:r>
        <w:t xml:space="preserve">Driver layers and experiment design in English (</w:t>
      </w:r>
      <w:r>
        <w:rPr>
          <w:rStyle w:val="VerbatimChar"/>
        </w:rPr>
        <w:t xml:space="preserve">figures/figS04_driver_layers_and_experiment_design.*</w:t>
      </w:r>
      <w:r>
        <w:t xml:space="preserve">).</w:t>
      </w:r>
    </w:p>
    <w:p>
      <w:r>
        <w:pict>
          <v:rect style="width:0;height:1.5pt" o:hralign="center" o:hrstd="t" o:hr="t"/>
        </w:pict>
      </w:r>
    </w:p>
    <w:bookmarkEnd w:id="58"/>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sz w:val="22"/>
    </w:rPr>
  </w:style>
  <w:style w:styleId="BodyText" w:type="paragraph">
    <w:name w:val="Body Text"/>
    <w:basedOn w:val="Normal"/>
    <w:link w:val="BodyTextChar"/>
    <w:qFormat/>
    <w:pPr>
      <w:spacing w:after="180" w:before="180"/>
    </w:pPr>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6" Type="http://schemas.openxmlformats.org/officeDocument/2006/relationships/image" Target="media/rId26.png"/><Relationship Id="rId30" Type="http://schemas.openxmlformats.org/officeDocument/2006/relationships/image" Target="media/rId30.png"/><Relationship Id="rId37" Type="http://schemas.openxmlformats.org/officeDocument/2006/relationships/image" Target="media/rId37.png"/><Relationship Id="rId34" Type="http://schemas.openxmlformats.org/officeDocument/2006/relationships/image" Target="media/rId34.png"/><Relationship Id="rId42" Type="http://schemas.openxmlformats.org/officeDocument/2006/relationships/image" Target="media/rId42.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2026-09-10T12:06:38Z</dcterms:created>
  <dcterms:modified xsi:type="dcterms:W3CDTF">2026-09-10T12:06:38Z</dcterms:modified>
</cp:coreProperties>
</file>

<file path=docProps/custom.xml><?xml version="1.0" encoding="utf-8"?>
<Properties xmlns="http://schemas.openxmlformats.org/officeDocument/2006/custom-properties" xmlns:vt="http://schemas.openxmlformats.org/officeDocument/2006/docPropsVTypes"/>
</file>