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9f1511a8109b24064870830db84b786f9ef0e11"/>
    <w:p>
      <w:pPr>
        <w:pStyle w:val="Heading1"/>
      </w:pPr>
      <w:r>
        <w:t xml:space="preserve">Auditing constrained geospatial allocation under noisy annual land-cover labels</w:t>
      </w:r>
    </w:p>
    <w:p>
      <w:pPr>
        <w:pStyle w:val="FirstParagraph"/>
      </w:pPr>
      <w:r>
        <w:rPr>
          <w:b/>
          <w:bCs/>
        </w:rPr>
        <w:t xml:space="preserve">A Geospatial Kernel benchmark in Abu Dhabi</w:t>
      </w:r>
    </w:p>
    <w:p>
      <w:pPr>
        <w:pStyle w:val="BodyText"/>
      </w:pPr>
      <w:r>
        <w:rPr>
          <w:b/>
          <w:bCs/>
        </w:rPr>
        <w:t xml:space="preserve">Author:</w:t>
      </w:r>
      <w:r>
        <w:t xml:space="preserve"> </w:t>
      </w:r>
      <w:r>
        <w:t xml:space="preserve">Ning Zhou</w:t>
      </w:r>
      <w:r>
        <w:br/>
      </w:r>
      <w:r>
        <w:rPr>
          <w:b/>
          <w:bCs/>
        </w:rPr>
        <w:t xml:space="preserve">Affiliation:</w:t>
      </w:r>
      <w:r>
        <w:t xml:space="preserve"> </w:t>
      </w:r>
      <w:r>
        <w:t xml:space="preserve">Beijing Freedo Technology Co., Ltd.</w:t>
      </w:r>
      <w:r>
        <w:br/>
      </w:r>
      <w:r>
        <w:rPr>
          <w:b/>
          <w:bCs/>
        </w:rPr>
        <w:t xml:space="preserve">Corresponding author:</w:t>
      </w:r>
      <w:r>
        <w:t xml:space="preserve"> </w:t>
      </w:r>
      <w:r>
        <w:t xml:space="preserve">Ning Zhou (</w:t>
      </w:r>
      <w:r>
        <w:rPr>
          <w:rStyle w:val="VerbatimChar"/>
        </w:rPr>
        <w:t xml:space="preserve">zhouning@freedotech.com</w:t>
      </w:r>
      <w:r>
        <w:t xml:space="preserve">)</w:t>
      </w:r>
    </w:p>
    <w:p>
      <w:pPr>
        <w:pStyle w:val="BodyText"/>
      </w:pPr>
      <w:r>
        <w:t xml:space="preserve">This study is not an official Abu Dhabi planning forecast. Correspondence: Ning Zhou, Beijing Freedo Technology Co., Ltd.; zhouning@freedotech.com.</w:t>
      </w:r>
    </w:p>
    <w:bookmarkStart w:id="9" w:name="abstract"/>
    <w:p>
      <w:pPr>
        <w:pStyle w:val="Heading2"/>
      </w:pPr>
      <w:r>
        <w:t xml:space="preserve">Abstract</w:t>
      </w:r>
    </w:p>
    <w:p>
      <w:pPr>
        <w:pStyle w:val="FirstParagraph"/>
      </w:pPr>
      <w:r>
        <w:t xml:space="preserve">Urban land-change models are often evaluated against annual labels whose reliability is not spatially uniform. We present an auditable protocol for testing constrained spatial allocation under that uncertainty, using Geospatial Kernel, the algorithmic core of a Geospatial World Model, as the focal execution layer. The Abu Dhabi public-data benchmark uses annual 100-m land-cover products from 2017–2024, three computational seeds, destination-correct multi-class change Figure of Merit (FoM), spatial-block bootstrap contrasts and explicit state–action–constraint traces. In a clean run of the fully resolved environment, strict FoM was 0.1961 for Geospatial Kernel, 0.1256 for the GeoSOS-derived FLUS-style ANN–CA console (author-modified build) and 0.1619 for GeoFM-LDN in 2023; after recursive two-step rollout in 2024 the values were 0.2529, 0.1782 and 0.2708, respectively. A dual-year confidence threshold retained only 25 of 4,500 observed changes in 2023 and 56 of 8,464 in 2024; all three FoM values were 0.000 in 2023 and the 2024 maximum was 0.0188. These filtered scores are label-quality and selection-effect diagnostics, not model-skill tests. The planning track is therefore reported as scenario stress testing, not official forecasting. The released public bundle, source, checkpoints, rasters, vector footprints and audit manifests support locked-environment reproduction; cross-stack variation is quantified rather than assumed absent. The protocol’s principal contribution is an inspectable proposal–projection–writeback boundary for separating model behaviour from action and constraint semantics.</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constrained admission.</w:t>
      </w:r>
    </w:p>
    <w:p>
      <w:pPr>
        <w:pStyle w:val="Compact"/>
        <w:numPr>
          <w:ilvl w:val="0"/>
          <w:numId w:val="1001"/>
        </w:numPr>
      </w:pPr>
      <w:r>
        <w:t xml:space="preserve">Typed state–action–constraint traces make recursive updates auditable.</w:t>
      </w:r>
    </w:p>
    <w:p>
      <w:pPr>
        <w:pStyle w:val="Compact"/>
        <w:numPr>
          <w:ilvl w:val="0"/>
          <w:numId w:val="1001"/>
        </w:numPr>
      </w:pPr>
      <w:r>
        <w:t xml:space="preserve">Spatial-block uncertainty and paired model contrasts are reported explicitly.</w:t>
      </w:r>
    </w:p>
    <w:p>
      <w:pPr>
        <w:pStyle w:val="Compact"/>
        <w:numPr>
          <w:ilvl w:val="0"/>
          <w:numId w:val="1001"/>
        </w:numPr>
      </w:pPr>
      <w:r>
        <w:t xml:space="preserve">Confidence filters expose label selection effects; they are not validation tests.</w:t>
      </w:r>
    </w:p>
    <w:p>
      <w:pPr>
        <w:pStyle w:val="Compact"/>
        <w:numPr>
          <w:ilvl w:val="0"/>
          <w:numId w:val="1001"/>
        </w:numPr>
      </w:pPr>
      <w:r>
        <w:t xml:space="preserve">Planning outputs are scenario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reports confidence-filter retention and selection effects rather than treating a high-confidence subset as a skill-validation set.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geosimulation.cn); the accompanying source repository</w:t>
      </w:r>
      <w:r>
        <w:t xml:space="preserve"> </w:t>
      </w:r>
      <w:r>
        <w:rPr>
          <w:rStyle w:val="VerbatimChar"/>
        </w:rPr>
        <w:t xml:space="preserve">FLUS_console_crossplatform</w:t>
      </w:r>
      <w:r>
        <w:t xml:space="preserve"> </w:t>
      </w:r>
      <w:r>
        <w:t xml:space="preserve">at commit</w:t>
      </w:r>
      <w:r>
        <w:t xml:space="preserve"> </w:t>
      </w:r>
      <w:r>
        <w:rPr>
          <w:rStyle w:val="VerbatimChar"/>
        </w:rPr>
        <w:t xml:space="preserve">47e65b3</w:t>
      </w:r>
      <w:r>
        <w:t xml:space="preserve"> </w:t>
      </w:r>
      <w:r>
        <w:t xml:space="preserve">contains the author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action; a global nine-candidate frontier is retained only as lineage. Sensitivity variants remove or add objective dimensions on the same released rasters. The objective set evolved through four review-driven revisions and was not preregistered: v1 mixed feasibility, action and outcome terms; v2 was not released; v3 used structurally problematic outcomes; and v4 still included scenario-supplied vegetation gain and all-built fragmentation. The current release is v6: road access, prior-built distance and union-built component density. Ecological conversion is reported as a diagnostic rather than a Pareto objective because it is structurally zero for the exact-count Kernel and GeoFM-LDN allocations. We treat v6 as a release objective set rather than a prespecified planning preference, and treat its sensitivity results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with the released public bundle, the input audit passed all alignment gates (with a Dynamic World label-noise warning) and the output audit passed 276 historical and planning predictions with zero failures. The vector layers preserve raster-cell geometry and should not be interpreted as cadastral parcels.</w:t>
      </w:r>
    </w:p>
    <w:bookmarkEnd w:id="20"/>
    <w:bookmarkEnd w:id="21"/>
    <w:bookmarkStart w:id="26" w:name="results"/>
    <w:p>
      <w:pPr>
        <w:pStyle w:val="Heading2"/>
      </w:pPr>
      <w:r>
        <w:t xml:space="preserve">Results</w:t>
      </w:r>
    </w:p>
    <w:bookmarkStart w:id="22"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bookmarkEnd w:id="22"/>
    <w:bookmarkStart w:id="23"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 Historical allocation scores.</w:t>
      </w:r>
      <w:r>
        <w:t xml:space="preserve"> </w:t>
      </w:r>
      <w:r>
        <w:t xml:space="preserve">Values are means across the three</w:t>
      </w:r>
      <w:r>
        <w:t xml:space="preserve"> </w:t>
      </w:r>
      <w:r>
        <w:t xml:space="preserve">frozen computational seeds; the strict multi-class change FoM is the primary</w:t>
      </w:r>
      <w:r>
        <w:t xml:space="preserve"> </w:t>
      </w:r>
      <w:r>
        <w:t xml:space="preserve">metric and the remaining columns are diagnostics. The 25-feature FLUS run is</w:t>
      </w:r>
      <w:r>
        <w:t xml:space="preserve"> </w:t>
      </w:r>
      <w:r>
        <w:t xml:space="preserve">excluded from this table because it is not a comparable estimator. Across six</w:t>
      </w:r>
      <w:r>
        <w:t xml:space="preserve"> </w:t>
      </w:r>
      <w:r>
        <w:t xml:space="preserve">platform–seed runs, five collapsed to zero-change outputs through current-class</w:t>
      </w:r>
      <w:r>
        <w:t xml:space="preserve"> </w:t>
      </w:r>
      <w:r>
        <w:t xml:space="preserve">identity leakage, so the non-collapsed macOS seed-31 result is retained only in</w:t>
      </w:r>
      <w:r>
        <w:t xml:space="preserve"> </w:t>
      </w:r>
      <w:r>
        <w:t xml:space="preserve">the diagnostic archive. Persistence and random minimum-change are explicit</w:t>
      </w:r>
      <w:r>
        <w:t xml:space="preserve"> </w:t>
      </w:r>
      <w:r>
        <w:t xml:space="preserve">zero-model controls rather than learned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Target year</w:t>
            </w:r>
          </w:p>
        </w:tc>
        <w:tc>
          <w:tcPr/>
          <w:p>
            <w:pPr>
              <w:pStyle w:val="Compact"/>
              <w:jc w:val="right"/>
            </w:pPr>
            <w:r>
              <w:t xml:space="preserve">FLUS-style (7)</w:t>
            </w:r>
          </w:p>
        </w:tc>
        <w:tc>
          <w:tcPr/>
          <w:p>
            <w:pPr>
              <w:pStyle w:val="Compact"/>
              <w:jc w:val="right"/>
            </w:pPr>
            <w:r>
              <w:t xml:space="preserve">Kernel</w:t>
            </w:r>
          </w:p>
        </w:tc>
        <w:tc>
          <w:tcPr/>
          <w:p>
            <w:pPr>
              <w:pStyle w:val="Compact"/>
              <w:jc w:val="right"/>
            </w:pPr>
            <w:r>
              <w:t xml:space="preserve">GeoFM-LDN</w:t>
            </w:r>
          </w:p>
        </w:tc>
        <w:tc>
          <w:tcPr/>
          <w:p>
            <w:pPr>
              <w:pStyle w:val="Compact"/>
              <w:jc w:val="right"/>
            </w:pPr>
            <w:r>
              <w:t xml:space="preserve">Persistence</w:t>
            </w:r>
          </w:p>
        </w:tc>
        <w:tc>
          <w:tcPr/>
          <w:p>
            <w:pPr>
              <w:pStyle w:val="Compact"/>
              <w:jc w:val="right"/>
            </w:pPr>
            <w:r>
              <w:t xml:space="preserve">Random minimum-change</w:t>
            </w:r>
          </w:p>
        </w:tc>
      </w:tr>
      <w:tr>
        <w:tc>
          <w:tcPr/>
          <w:p>
            <w:pPr>
              <w:pStyle w:val="Compact"/>
              <w:jc w:val="right"/>
            </w:pPr>
            <w:r>
              <w:t xml:space="preserve">2023 (1-step)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c>
          <w:tcPr/>
          <w:p>
            <w:pPr>
              <w:pStyle w:val="Compact"/>
              <w:jc w:val="right"/>
            </w:pPr>
            <w:r>
              <w:t xml:space="preserve">0.0000</w:t>
            </w:r>
          </w:p>
        </w:tc>
        <w:tc>
          <w:tcPr/>
          <w:p>
            <w:pPr>
              <w:pStyle w:val="Compact"/>
              <w:jc w:val="right"/>
            </w:pPr>
            <w:r>
              <w:t xml:space="preserve">0.0253</w:t>
            </w:r>
          </w:p>
        </w:tc>
      </w:tr>
      <w:tr>
        <w:tc>
          <w:tcPr/>
          <w:p>
            <w:pPr>
              <w:pStyle w:val="Compact"/>
              <w:jc w:val="right"/>
            </w:pPr>
            <w:r>
              <w:t xml:space="preserve">2024 (2-step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c>
          <w:tcPr/>
          <w:p>
            <w:pPr>
              <w:pStyle w:val="Compact"/>
              <w:jc w:val="right"/>
            </w:pPr>
            <w:r>
              <w:t xml:space="preserve">0.0000</w:t>
            </w:r>
          </w:p>
        </w:tc>
        <w:tc>
          <w:tcPr/>
          <w:p>
            <w:pPr>
              <w:pStyle w:val="Compact"/>
              <w:jc w:val="right"/>
            </w:pPr>
            <w:r>
              <w:t xml:space="preserve">0.0605</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confidence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mean top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confidence of the year immediately preceding the</w:t>
      </w:r>
      <w:r>
        <w:t xml:space="preserve"> </w:t>
      </w:r>
      <w:r>
        <w:t xml:space="preserve">target avoids filtering on target-year confidence,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3.</w:t>
      </w:r>
      <w:r>
        <w:t xml:space="preserve"> </w:t>
      </w: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276 historical and planning</w:t>
      </w:r>
      <w:r>
        <w:t xml:space="preserve"> </w:t>
      </w:r>
      <w:r>
        <w:t xml:space="preserve">prediction records passed the raster audit. The resulting 2031 ensemble rasters</w:t>
      </w:r>
      <w:r>
        <w:t xml:space="preserve"> </w:t>
      </w:r>
      <w:r>
        <w:t xml:space="preserve">and their dissolved cell-change footprints are shown in Fig. 5; they are</w:t>
      </w:r>
      <w:r>
        <w:t xml:space="preserve"> </w:t>
      </w:r>
      <w:r>
        <w:t xml:space="preserve">scenario-conditioned land-cover maps, not parcel boundaries or statutory zoning</w:t>
      </w:r>
      <w:r>
        <w:t xml:space="preserve"> </w:t>
      </w:r>
      <w:r>
        <w:t xml:space="preserve">maps.</w:t>
      </w:r>
    </w:p>
    <w:p>
      <w:pPr>
        <w:pStyle w:val="BodyText"/>
      </w:pPr>
      <w:r>
        <w:rPr>
          <w:b/>
          <w:bCs/>
        </w:rPr>
        <w:t xml:space="preserve">Table 2 | 2031 within-scenario planning objectives.</w:t>
      </w:r>
      <w:r>
        <w:t xml:space="preserve"> </w:t>
      </w:r>
      <w:r>
        <w:t xml:space="preserve">Values are means across</w:t>
      </w:r>
      <w:r>
        <w:t xml:space="preserve"> </w:t>
      </w:r>
      <w:r>
        <w:t xml:space="preserve">three seeds. Distances are metres, union-built component density is the number</w:t>
      </w:r>
      <w:r>
        <w:t xml:space="preserve"> </w:t>
      </w:r>
      <w:r>
        <w:t xml:space="preserve">of connected components in the combined 2024-built and newly built footprint per 1,000</w:t>
      </w:r>
      <w:r>
        <w:t xml:space="preserve"> </w:t>
      </w:r>
      <w:r>
        <w:t xml:space="preserve">valid cells, and ecological conversion is a descriptive fraction of new-built</w:t>
      </w:r>
      <w:r>
        <w:t xml:space="preserve"> </w:t>
      </w:r>
      <w:r>
        <w:t xml:space="preserve">cells whose origin class was woody, low vegetation or wetland. A star denotes</w:t>
      </w:r>
      <w:r>
        <w:t xml:space="preserve"> </w:t>
      </w:r>
      <w:r>
        <w:t xml:space="preserve">membership in the primary within-scenario Pareto frontier.</w:t>
      </w:r>
    </w:p>
    <w:tbl>
      <w:tblPr>
        <w:tblStyle w:val="Table"/>
        <w:tblW w:type="pct" w:w="5000"/>
        <w:tblLayout w:type="fixed"/>
        <w:tblLook w:firstRow="1" w:lastRow="0" w:firstColumn="0" w:lastColumn="0" w:noHBand="0" w:noVBand="0" w:val="0020"/>
      </w:tblPr>
      <w:tblGrid>
        <w:gridCol w:w="880"/>
        <w:gridCol w:w="880"/>
        <w:gridCol w:w="1173"/>
        <w:gridCol w:w="1173"/>
        <w:gridCol w:w="1173"/>
        <w:gridCol w:w="1173"/>
        <w:gridCol w:w="1466"/>
      </w:tblGrid>
      <w:tr>
        <w:trPr>
          <w:tblHeader w:val="on"/>
        </w:trPr>
        <w:tc>
          <w:tcPr/>
          <w:p>
            <w:pPr>
              <w:pStyle w:val="Compact"/>
            </w:pPr>
            <w:r>
              <w:t xml:space="preserve">Model</w:t>
            </w:r>
          </w:p>
        </w:tc>
        <w:tc>
          <w:tcPr/>
          <w:p>
            <w:pPr>
              <w:pStyle w:val="Compact"/>
            </w:pPr>
            <w:r>
              <w:t xml:space="preserve">Scenario</w:t>
            </w:r>
          </w:p>
        </w:tc>
        <w:tc>
          <w:tcPr/>
          <w:p>
            <w:pPr>
              <w:pStyle w:val="Compact"/>
              <w:jc w:val="right"/>
            </w:pPr>
            <w:r>
              <w:t xml:space="preserve">Major-road distance</w:t>
            </w:r>
          </w:p>
        </w:tc>
        <w:tc>
          <w:tcPr/>
          <w:p>
            <w:pPr>
              <w:pStyle w:val="Compact"/>
              <w:jc w:val="right"/>
            </w:pPr>
            <w:r>
              <w:t xml:space="preserve">Prior-built distance</w:t>
            </w:r>
          </w:p>
        </w:tc>
        <w:tc>
          <w:tcPr/>
          <w:p>
            <w:pPr>
              <w:pStyle w:val="Compact"/>
              <w:jc w:val="right"/>
            </w:pPr>
            <w:r>
              <w:t xml:space="preserve">Union-built components/1,000</w:t>
            </w:r>
          </w:p>
        </w:tc>
        <w:tc>
          <w:tcPr/>
          <w:p>
            <w:pPr>
              <w:pStyle w:val="Compact"/>
              <w:jc w:val="right"/>
            </w:pPr>
            <w:r>
              <w:t xml:space="preserve">Ecological conversion (diagnostic)</w:t>
            </w:r>
          </w:p>
        </w:tc>
        <w:tc>
          <w:tcPr/>
          <w:p>
            <w:pPr>
              <w:pStyle w:val="Compact"/>
              <w:jc w:val="center"/>
            </w:pPr>
            <w:r>
              <w:t xml:space="preserve">Frontier</w:t>
            </w:r>
          </w:p>
        </w:tc>
      </w:tr>
      <w:tr>
        <w:tc>
          <w:tcPr/>
          <w:p>
            <w:pPr>
              <w:pStyle w:val="Compact"/>
            </w:pPr>
            <w:r>
              <w:t xml:space="preserve">FLUS-style ANN–CA</w:t>
            </w:r>
          </w:p>
        </w:tc>
        <w:tc>
          <w:tcPr/>
          <w:p>
            <w:pPr>
              <w:pStyle w:val="Compact"/>
            </w:pPr>
            <w:r>
              <w:t xml:space="preserve">Moderate</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pPr>
            <w:r>
              <w:t xml:space="preserve">Geospatial Kernel</w:t>
            </w:r>
          </w:p>
        </w:tc>
        <w:tc>
          <w:tcPr/>
          <w:p>
            <w:pPr>
              <w:pStyle w:val="Compact"/>
            </w:pPr>
            <w:r>
              <w:t xml:space="preserve">Moderate</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Moderate</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pPr>
            <w:r>
              <w:t xml:space="preserve">FLUS-style ANN–CA</w:t>
            </w:r>
          </w:p>
        </w:tc>
        <w:tc>
          <w:tcPr/>
          <w:p>
            <w:pPr>
              <w:pStyle w:val="Compact"/>
            </w:pPr>
            <w:r>
              <w:t xml:space="preserve">Green-priority</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pPr>
            <w:r>
              <w:t xml:space="preserve">Geospatial Kernel</w:t>
            </w:r>
          </w:p>
        </w:tc>
        <w:tc>
          <w:tcPr/>
          <w:p>
            <w:pPr>
              <w:pStyle w:val="Compact"/>
            </w:pPr>
            <w:r>
              <w:t xml:space="preserve">Green-priority</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Green-priority</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pPr>
            <w:r>
              <w:t xml:space="preserve">FLUS-style ANN–CA</w:t>
            </w:r>
          </w:p>
        </w:tc>
        <w:tc>
          <w:tcPr/>
          <w:p>
            <w:pPr>
              <w:pStyle w:val="Compact"/>
            </w:pPr>
            <w:r>
              <w:t xml:space="preserve">High outward</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pPr>
            <w:r>
              <w:t xml:space="preserve">Geospatial Kernel</w:t>
            </w:r>
          </w:p>
        </w:tc>
        <w:tc>
          <w:tcPr/>
          <w:p>
            <w:pPr>
              <w:pStyle w:val="Compact"/>
            </w:pPr>
            <w:r>
              <w:t xml:space="preserve">High outward</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High outward</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23"/>
    <w:bookmarkStart w:id="24"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Figure 4A shows the proposal controls, while Fig. 4B–D reports runtime and planning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24"/>
    <w:bookmarkStart w:id="2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bookmarkEnd w:id="25"/>
    <w:bookmarkEnd w:id="26"/>
    <w:bookmarkStart w:id="27"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noisy annual labels. The defensible contribution is that a transition proposal and a planning admission rule can be represented and inspected separately. Under the unmatched public-data pipeline, Geospatial Kernel has the largest strict transition FoM at the one-step horizon, while GeoFM-LDN has the largest value after recursive two-step rollout. The dual-year confidence filter retains only 0.56% and 0.66% of observed changes in 2023 and 2024, respectively; the preceding-year-only variant retains 2.87% and 1.10%. These subsets are not skill tests; full-grid rankings remain unvalidated because no independent change product is yet available. We therefore treat the planning frontier as conditional on public proxy objectives and synthetic actions.</w:t>
      </w:r>
    </w:p>
    <w:p>
      <w:pPr>
        <w:pStyle w:val="BodyText"/>
      </w:pPr>
      <w:r>
        <w:t xml:space="preserve">The evidence remains bounded. The six classes are remote-sensing land cover, not</w:t>
      </w:r>
      <w:r>
        <w:t xml:space="preserve"> </w:t>
      </w:r>
      <w:r>
        <w:t xml:space="preserve">statutory residential, commercial or industrial land use. Dynamic World labels</w:t>
      </w:r>
      <w:r>
        <w:t xml:space="preserve"> </w:t>
      </w:r>
      <w:r>
        <w:t xml:space="preserve">show substantial annual uncertainty and apparent turnover; no independent</w:t>
      </w:r>
      <w:r>
        <w:t xml:space="preserve"> </w:t>
      </w:r>
      <w:r>
        <w:t xml:space="preserve">2023–2024 change product or observed 2025–2031 labels was available. Public</w:t>
      </w:r>
      <w:r>
        <w:t xml:space="preserve"> </w:t>
      </w:r>
      <w:r>
        <w:t xml:space="preserve">roads, wetland and protected-area layers are proxies, future drivers are held at</w:t>
      </w:r>
      <w:r>
        <w:t xml:space="preserve"> </w:t>
      </w:r>
      <w:r>
        <w:t xml:space="preserve">2024, and the green-priority action has no water-budget constraint. The FLUS-style</w:t>
      </w:r>
      <w:r>
        <w:t xml:space="preserve"> </w:t>
      </w:r>
      <w:r>
        <w:t xml:space="preserve">control is an Apple-Silicon binary rebuilt from the public GeoSOS source base</w:t>
      </w:r>
      <w:r>
        <w:t xml:space="preserve"> </w:t>
      </w:r>
      <w:r>
        <w:t xml:space="preserve">with the author’s</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End w:id="27"/>
    <w:bookmarkStart w:id="28"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rPr>
          <w:rStyle w:val="VerbatimChar"/>
        </w:rPr>
        <w:t xml:space="preserve">data_audit.json</w:t>
      </w:r>
      <w:r>
        <w:t xml:space="preserve">,</w:t>
      </w:r>
      <w:r>
        <w:t xml:space="preserve"> </w:t>
      </w:r>
      <w:r>
        <w:rPr>
          <w:rStyle w:val="VerbatimChar"/>
        </w:rPr>
        <w:t xml:space="preserve">protocol.json</w:t>
      </w:r>
      <w:r>
        <w:t xml:space="preserve">,</w:t>
      </w:r>
      <w:r>
        <w:t xml:space="preserve"> </w:t>
      </w:r>
      <w:r>
        <w:rPr>
          <w:rStyle w:val="VerbatimChar"/>
        </w:rPr>
        <w:t xml:space="preserve">gee_input_manifest.json</w:t>
      </w:r>
      <w:r>
        <w:t xml:space="preserve"> </w:t>
      </w:r>
      <w:r>
        <w:t xml:space="preserve">and</w:t>
      </w:r>
      <w:r>
        <w:t xml:space="preserve"> </w:t>
      </w:r>
      <w:r>
        <w:rPr>
          <w:rStyle w:val="VerbatimChar"/>
        </w:rPr>
        <w:t xml:space="preserve">osm_input_manifest.json</w:t>
      </w:r>
      <w:r>
        <w:t xml:space="preserve"> </w:t>
      </w:r>
      <w:r>
        <w:t xml:space="preserve">for data provenance;</w:t>
      </w:r>
    </w:p>
    <w:p>
      <w:pPr>
        <w:pStyle w:val="Compact"/>
        <w:numPr>
          <w:ilvl w:val="0"/>
          <w:numId w:val="1002"/>
        </w:numPr>
      </w:pPr>
      <w:r>
        <w:t xml:space="preserve">The released bundle includes the aligned 2017–2024 public rasters, historical seed and ensemble prediction rasters, 2025–2031 planning seed and ensemble rasters, nine GeoPackages of dissolved change footprints, the mechanism-ablation report,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archived arm64 Linux rerun of the six historical Kernel rasters differed from the macOS reference by 498–1,147 cells (0.62%–1.44%), with strict-FoM deltas from -0.0023 to +0.0010; these cross-stack differences are quantified rather than treated as categorical identity. An author-controlled GitHub Actions Ubuntu x86_64 rerun of all six rasters under the resolved lock had zero categorical differences; the repository-stored CI audit is in</w:t>
      </w:r>
      <w:r>
        <w:t xml:space="preserve"> </w:t>
      </w:r>
      <w:r>
        <w:rPr>
          <w:rStyle w:val="VerbatimChar"/>
        </w:rPr>
        <w:t xml:space="preserve">artifacts/cross_platform</w:t>
      </w:r>
      <w:r>
        <w:t xml:space="preserve"> </w:t>
      </w:r>
      <w:r>
        <w:t xml:space="preserve">at commit</w:t>
      </w:r>
      <w:r>
        <w:t xml:space="preserve"> </w:t>
      </w:r>
      <w:r>
        <w:rPr>
          <w:rStyle w:val="VerbatimChar"/>
        </w:rPr>
        <w:t xml:space="preserve">e06a997</w:t>
      </w:r>
      <w:r>
        <w:t xml:space="preserve">, and the workflow is versioned under</w:t>
      </w:r>
      <w:r>
        <w:t xml:space="preserve"> </w:t>
      </w:r>
      <w:r>
        <w:rPr>
          <w:rStyle w:val="VerbatimChar"/>
        </w:rPr>
        <w:t xml:space="preserve">.github/workflows/</w:t>
      </w:r>
      <w:r>
        <w:t xml:space="preserve">. Independent external Windows evidence remains separately labelled for FLUS because the corresponding rasters are not archived locally. No private database address, credential or client-only service is included. Authoritative Abu Dhabi land-use and independent change-validation data remain outside this study.</w:t>
      </w:r>
    </w:p>
    <w:bookmarkEnd w:id="28"/>
    <w:bookmarkStart w:id="29"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data_agent/uwm/geospatial_kernel/runtime.py</w:t>
      </w:r>
      <w:r>
        <w:t xml:space="preserve"> </w:t>
      </w:r>
      <w:r>
        <w:t xml:space="preserve">for the vendored runtime snapshot;</w:t>
      </w:r>
    </w:p>
    <w:p>
      <w:pPr>
        <w:pStyle w:val="Compact"/>
        <w:numPr>
          <w:ilvl w:val="0"/>
          <w:numId w:val="1003"/>
        </w:numPr>
      </w:pPr>
      <w:r>
        <w:rPr>
          <w:rStyle w:val="VerbatimChar"/>
        </w:rPr>
        <w:t xml:space="preserve">render_nature_figures.py</w:t>
      </w:r>
      <w:r>
        <w:t xml:space="preserve"> </w:t>
      </w:r>
      <w:r>
        <w:t xml:space="preserve">for publication artwork.</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under</w:t>
      </w:r>
      <w:r>
        <w:t xml:space="preserve"> </w:t>
      </w:r>
      <w:r>
        <w:rPr>
          <w:rStyle w:val="VerbatimChar"/>
        </w:rPr>
        <w:t xml:space="preserve">benchmarks/abu_dhabi_land_use_v1/external/</w:t>
      </w:r>
      <w:r>
        <w:t xml:space="preserve"> </w:t>
      </w:r>
      <w:r>
        <w:t xml:space="preserve">and</w:t>
      </w:r>
      <w:r>
        <w:t xml:space="preserve"> </w:t>
      </w:r>
      <w:r>
        <w:rPr>
          <w:rStyle w:val="VerbatimChar"/>
        </w:rPr>
        <w:t xml:space="preserve">artifacts/predictions/</w:t>
      </w:r>
      <w:r>
        <w:t xml:space="preserve">.</w:t>
      </w:r>
      <w:r>
        <w:t xml:space="preserve"> </w:t>
      </w:r>
      <w:r>
        <w:t xml:space="preserve">Earlier internal reference outputs, produced before the dependency lock was</w:t>
      </w:r>
      <w:r>
        <w:t xml:space="preserve"> </w:t>
      </w:r>
      <w:r>
        <w:t xml:space="preserve">completed, could not be regenerated under the resolved environment and were</w:t>
      </w:r>
      <w:r>
        <w:t xml:space="preserve"> </w:t>
      </w:r>
      <w:r>
        <w:t xml:space="preserve">superseded by the locked-environment rerun reported here. Historical strict-FoM</w:t>
      </w:r>
      <w:r>
        <w:t xml:space="preserve"> </w:t>
      </w:r>
      <w:r>
        <w:t xml:space="preserve">differences were at approximately the 0.001 level; discrete multi-year planning</w:t>
      </w:r>
      <w:r>
        <w:t xml:space="preserve"> </w:t>
      </w:r>
      <w:r>
        <w:t xml:space="preserve">ensemble demand errors changed more substantially and are reported here only</w:t>
      </w:r>
      <w:r>
        <w:t xml:space="preserve"> </w:t>
      </w:r>
      <w:r>
        <w:t xml:space="preserve">from the locked-environment rerun. The prior outputs remain Git-history lineage,</w:t>
      </w:r>
      <w:r>
        <w:t xml:space="preserve"> </w:t>
      </w:r>
      <w:r>
        <w:t xml:space="preserve">not current evidence.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rPr>
          <w:rStyle w:val="VerbatimChar"/>
        </w:rPr>
        <w:t xml:space="preserve">https://github.com/zhouning/FLUS_console_crossplatform</w:t>
      </w:r>
      <w:r>
        <w:t xml:space="preserve">, tag</w:t>
      </w:r>
      <w:r>
        <w:t xml:space="preserve"> </w:t>
      </w:r>
      <w:r>
        <w:rPr>
          <w:rStyle w:val="VerbatimChar"/>
        </w:rPr>
        <w:t xml:space="preserve">paper-benchmark-flus-v1.1</w:t>
      </w:r>
      <w:r>
        <w:t xml:space="preserve"> </w:t>
      </w:r>
      <w:r>
        <w:t xml:space="preserve">at commit</w:t>
      </w:r>
      <w:r>
        <w:t xml:space="preserve"> </w:t>
      </w:r>
      <w:r>
        <w:rPr>
          <w:rStyle w:val="VerbatimChar"/>
        </w:rPr>
        <w:t xml:space="preserve">47e65b3</w:t>
      </w:r>
      <w:r>
        <w:t xml:space="preserve"> </w:t>
      </w:r>
      <w:r>
        <w:t xml:space="preserve">(the GeoSOS source release and Liu et al. (2017) are cited above). Rebuilding</w:t>
      </w:r>
      <w:r>
        <w:t xml:space="preserve"> </w:t>
      </w:r>
      <w:r>
        <w:t xml:space="preserve">the preceding v1 commit (</w:t>
      </w:r>
      <w:r>
        <w:rPr>
          <w:rStyle w:val="VerbatimChar"/>
        </w:rPr>
        <w:t xml:space="preserve">deb0a54</w:t>
      </w:r>
      <w:r>
        <w:t xml:space="preserve">)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 Version v1.1 changes only invalid-input</w:t>
      </w:r>
      <w:r>
        <w:t xml:space="preserve"> </w:t>
      </w:r>
      <w:r>
        <w:t xml:space="preserve">failure handling and leaves valid-input algorithmic paths unchanged; the</w:t>
      </w:r>
      <w:r>
        <w:t xml:space="preserve"> </w:t>
      </w:r>
      <w:r>
        <w:t xml:space="preserve">normal-output equivalence check is archived with the source release.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Independent external</w:t>
      </w:r>
      <w:r>
        <w:t xml:space="preserve"> </w:t>
      </w:r>
      <w:r>
        <w:t xml:space="preserve">Windows FLUS verification, including the seven-driver cross-platform difference</w:t>
      </w:r>
      <w:r>
        <w:t xml:space="preserve"> </w:t>
      </w:r>
      <w:r>
        <w:t xml:space="preserve">and the 25-feature zero-change outcome, is documented with its provenance</w:t>
      </w:r>
      <w:r>
        <w:t xml:space="preserve"> </w:t>
      </w:r>
      <w:r>
        <w:t xml:space="preserve">limitation in Supplementary Table S3. Windows execution requires the benchmark</w:t>
      </w:r>
      <w:r>
        <w:t xml:space="preserve"> </w:t>
      </w:r>
      <w:r>
        <w:t xml:space="preserve">and working directories to use pure ASCII paths; saving configuration files as</w:t>
      </w:r>
      <w:r>
        <w:t xml:space="preserve"> </w:t>
      </w:r>
      <w:r>
        <w:t xml:space="preserve">UTF-8 alone 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corresponding-author e-mail is</w:t>
      </w:r>
      <w:r>
        <w:t xml:space="preserve"> </w:t>
      </w:r>
      <w:r>
        <w:rPr>
          <w:rStyle w:val="VerbatimChar"/>
        </w:rPr>
        <w:t xml:space="preserve">zhouning@freedotech.com</w:t>
      </w:r>
      <w:r>
        <w:t xml:space="preserve">; an archival DOI should be added after a persistent</w:t>
      </w:r>
      <w:r>
        <w:t xml:space="preserve"> </w:t>
      </w:r>
      <w:r>
        <w:t xml:space="preserve">public release is created.</w:t>
      </w:r>
    </w:p>
    <w:bookmarkEnd w:id="29"/>
    <w:bookmarkStart w:id="30"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The author thanks the anonymous reviewers for independent technical verification and constructive methodological comments.</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30"/>
    <w:bookmarkStart w:id="31"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 https://doi.org/10.1016/j.landurbplan.2021.104157</w:t>
      </w:r>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https://doi.org/10.1016/S0198-9715(01)00017-8</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 https://doi.org/10.1080/1747423X.2011.562018</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 https://doi.org/10.1007/s00267-002-2631-x</w:t>
      </w:r>
    </w:p>
    <w:p>
      <w:pPr>
        <w:pStyle w:val="BodyText"/>
      </w:pPr>
      <w:r>
        <w:t xml:space="preserve">Zanaga, D., et al. (2022). ESA WorldCover 10 m 2021 v200. Zenodo. https://doi.org/10.5281/zenodo.7254221</w:t>
      </w:r>
    </w:p>
    <w:bookmarkEnd w:id="31"/>
    <w:bookmarkStart w:id="47" w:name="figure-legends"/>
    <w:p>
      <w:pPr>
        <w:pStyle w:val="Heading2"/>
      </w:pPr>
      <w:r>
        <w:t xml:space="preserve">Figure legends</w:t>
      </w:r>
    </w:p>
    <w:p>
      <w:pPr>
        <w:pStyle w:val="FirstParagraph"/>
      </w:pPr>
      <w:r>
        <w:drawing>
          <wp:inline>
            <wp:extent cx="5334000" cy="3481042"/>
            <wp:effectExtent b="0" l="0" r="0" t="0"/>
            <wp:docPr descr="" title="" id="33" name="Picture"/>
            <a:graphic>
              <a:graphicData uri="http://schemas.openxmlformats.org/drawingml/2006/picture">
                <pic:pic>
                  <pic:nvPicPr>
                    <pic:cNvPr descr="figures/fig01_benchmark_contract.png" id="34" name="Picture"/>
                    <pic:cNvPicPr>
                      <a:picLocks noChangeArrowheads="1" noChangeAspect="1"/>
                    </pic:cNvPicPr>
                  </pic:nvPicPr>
                  <pic:blipFill>
                    <a:blip r:embed="rId32"/>
                    <a:stretch>
                      <a:fillRect/>
                    </a:stretch>
                  </pic:blipFill>
                  <pic:spPr bwMode="auto">
                    <a:xfrm>
                      <a:off x="0" y="0"/>
                      <a:ext cx="5334000" cy="3481042"/>
                    </a:xfrm>
                    <a:prstGeom prst="rect">
                      <a:avLst/>
                    </a:prstGeom>
                    <a:noFill/>
                    <a:ln w="9525">
                      <a:noFill/>
                      <a:headEnd/>
                      <a:tailEnd/>
                    </a:ln>
                  </pic:spPr>
                </pic:pic>
              </a:graphicData>
            </a:graphic>
          </wp:inline>
        </w:drawing>
      </w:r>
    </w:p>
    <w:p>
      <w:pPr>
        <w:pStyle w:val="BodyText"/>
      </w:pPr>
      <w:r>
        <w:rPr>
          <w:b/>
          <w:bCs/>
        </w:rPr>
        <w:t xml:space="preserve">Figure 1 | Benchmark and Geospatial Kernel execution contract.</w:t>
      </w:r>
      <w:r>
        <w:t xml:space="preserve"> </w:t>
      </w:r>
      <w:r>
        <w:t xml:space="preserve">Public annual land-cover, embedding, night-light, terrain and road layers are aligned to a common 100-m Abu Dhabi grid. Each model receives the same state, action and public proxy exclusions. The Geospatial Kernel exposes a learned proposal, constraint projection and state writeback. Historical, open-loop and planning tracks use one audit contract. The schematic does not imply statutory planning boundaries.</w:t>
      </w:r>
    </w:p>
    <w:p>
      <w:pPr>
        <w:pStyle w:val="BodyText"/>
      </w:pPr>
      <w:r>
        <w:drawing>
          <wp:inline>
            <wp:extent cx="5334000" cy="2561061"/>
            <wp:effectExtent b="0" l="0" r="0" t="0"/>
            <wp:docPr descr="" title="" id="36" name="Picture"/>
            <a:graphic>
              <a:graphicData uri="http://schemas.openxmlformats.org/drawingml/2006/picture">
                <pic:pic>
                  <pic:nvPicPr>
                    <pic:cNvPr descr="figures/fig02_historical_validation.png" id="37" name="Picture"/>
                    <pic:cNvPicPr>
                      <a:picLocks noChangeArrowheads="1" noChangeAspect="1"/>
                    </pic:cNvPicPr>
                  </pic:nvPicPr>
                  <pic:blipFill>
                    <a:blip r:embed="rId35"/>
                    <a:stretch>
                      <a:fillRect/>
                    </a:stretch>
                  </pic:blipFill>
                  <pic:spPr bwMode="auto">
                    <a:xfrm>
                      <a:off x="0" y="0"/>
                      <a:ext cx="5334000" cy="2561061"/>
                    </a:xfrm>
                    <a:prstGeom prst="rect">
                      <a:avLst/>
                    </a:prstGeom>
                    <a:noFill/>
                    <a:ln w="9525">
                      <a:noFill/>
                      <a:headEnd/>
                      <a:tailEnd/>
                    </a:ln>
                  </pic:spPr>
                </pic:pic>
              </a:graphicData>
            </a:graphic>
          </wp:inline>
        </w:drawing>
      </w:r>
    </w:p>
    <w:p>
      <w:pPr>
        <w:pStyle w:val="BodyText"/>
      </w:pPr>
      <w:r>
        <w:rPr>
          <w:b/>
          <w:bCs/>
        </w:rPr>
        <w:t xml:space="preserve">Figure 2 | Historical allocation skill.</w:t>
      </w:r>
      <w:r>
        <w:t xml:space="preserve"> </w:t>
      </w:r>
      <w:r>
        <w:t xml:space="preserve">Bars show the revised strict</w:t>
      </w:r>
      <w:r>
        <w:t xml:space="preserve"> </w:t>
      </w:r>
      <w:r>
        <w:t xml:space="preserve">multi-class FoM, change F1, overall accuracy and macro-F1 for the 2023 one-step</w:t>
      </w:r>
      <w:r>
        <w:t xml:space="preserve"> </w:t>
      </w:r>
      <w:r>
        <w:t xml:space="preserve">and 2024 two-step open-loop tests, with persistence and random minimum-change</w:t>
      </w:r>
      <w:r>
        <w:t xml:space="preserve"> </w:t>
      </w:r>
      <w:r>
        <w:t xml:space="preserve">controls. Error bars show population standard deviation across the three frozen</w:t>
      </w:r>
      <w:r>
        <w:t xml:space="preserve"> </w:t>
      </w:r>
      <w:r>
        <w:t xml:space="preserve">seeds for the three main models. The 13-, 19- and 25-feature FLUS diagnostics</w:t>
      </w:r>
      <w:r>
        <w:t xml:space="preserve"> </w:t>
      </w:r>
      <w:r>
        <w:t xml:space="preserve">are reported separately in Supplementary Table S3. Paired spatial-block</w:t>
      </w:r>
      <w:r>
        <w:t xml:space="preserve"> </w:t>
      </w:r>
      <w:r>
        <w:t xml:space="preserve">intervals for the main models are reported in the machine-readable comparison</w:t>
      </w:r>
      <w:r>
        <w:t xml:space="preserve"> </w:t>
      </w:r>
      <w:r>
        <w:t xml:space="preserve">report.</w:t>
      </w:r>
    </w:p>
    <w:p>
      <w:pPr>
        <w:pStyle w:val="BodyText"/>
      </w:pPr>
      <w:r>
        <w:drawing>
          <wp:inline>
            <wp:extent cx="5334000" cy="3550480"/>
            <wp:effectExtent b="0" l="0" r="0" t="0"/>
            <wp:docPr descr="" title="" id="39" name="Picture"/>
            <a:graphic>
              <a:graphicData uri="http://schemas.openxmlformats.org/drawingml/2006/picture">
                <pic:pic>
                  <pic:nvPicPr>
                    <pic:cNvPr descr="figures/fig03_planning_objectives.png" id="40" name="Picture"/>
                    <pic:cNvPicPr>
                      <a:picLocks noChangeArrowheads="1" noChangeAspect="1"/>
                    </pic:cNvPicPr>
                  </pic:nvPicPr>
                  <pic:blipFill>
                    <a:blip r:embed="rId38"/>
                    <a:stretch>
                      <a:fillRect/>
                    </a:stretch>
                  </pic:blipFill>
                  <pic:spPr bwMode="auto">
                    <a:xfrm>
                      <a:off x="0" y="0"/>
                      <a:ext cx="5334000" cy="3550480"/>
                    </a:xfrm>
                    <a:prstGeom prst="rect">
                      <a:avLst/>
                    </a:prstGeom>
                    <a:noFill/>
                    <a:ln w="9525">
                      <a:noFill/>
                      <a:headEnd/>
                      <a:tailEnd/>
                    </a:ln>
                  </pic:spPr>
                </pic:pic>
              </a:graphicData>
            </a:graphic>
          </wp:inline>
        </w:drawing>
      </w:r>
    </w:p>
    <w:p>
      <w:pPr>
        <w:pStyle w:val="BodyText"/>
      </w:pPr>
      <w:r>
        <w:rPr>
          <w:b/>
          <w:bCs/>
        </w:rPr>
        <w:t xml:space="preserve">Figure 3 | Conditional planning objectives and morphology diagnostics.</w:t>
      </w:r>
      <w:r>
        <w:t xml:space="preserve"> </w:t>
      </w:r>
      <w:r>
        <w:t xml:space="preserve">The</w:t>
      </w:r>
      <w:r>
        <w:t xml:space="preserve"> </w:t>
      </w:r>
      <w:r>
        <w:t xml:space="preserve">2031 outcomes compare the three models under moderate-growth, green-priority-</w:t>
      </w:r>
      <w:r>
        <w:t xml:space="preserve"> </w:t>
      </w:r>
      <w:r>
        <w:t xml:space="preserve">growth and high-outward-growth actions. Panels A–C show the release objectives:</w:t>
      </w:r>
      <w:r>
        <w:t xml:space="preserve"> </w:t>
      </w:r>
      <w:r>
        <w:t xml:space="preserve">distance to major roads, distance to prior built cells and components in the</w:t>
      </w:r>
      <w:r>
        <w:t xml:space="preserve"> </w:t>
      </w:r>
      <w:r>
        <w:t xml:space="preserve">combined 2024-built and newly built footprint per 1,000 valid cells. Panel D shows</w:t>
      </w:r>
      <w:r>
        <w:t xml:space="preserve"> </w:t>
      </w:r>
      <w:r>
        <w:t xml:space="preserve">ecological conversion as a descriptive diagnostic; panel E shows vegetation gain</w:t>
      </w:r>
      <w:r>
        <w:t xml:space="preserve"> </w:t>
      </w:r>
      <w:r>
        <w:t xml:space="preserve">as a scenario-input diagnostic; panel F shows the 500-m leapfrog rate. Stars mark</w:t>
      </w:r>
      <w:r>
        <w:t xml:space="preserve"> </w:t>
      </w:r>
      <w:r>
        <w:t xml:space="preserve">non-dominated candidates within each scenario; bars show means ± population SD</w:t>
      </w:r>
      <w:r>
        <w:t xml:space="preserve"> </w:t>
      </w:r>
      <w:r>
        <w:t xml:space="preserve">across three seeds.</w:t>
      </w:r>
    </w:p>
    <w:p>
      <w:pPr>
        <w:pStyle w:val="BodyText"/>
      </w:pPr>
      <w:r>
        <w:drawing>
          <wp:inline>
            <wp:extent cx="5334000" cy="3703670"/>
            <wp:effectExtent b="0" l="0" r="0" t="0"/>
            <wp:docPr descr="" title="" id="42" name="Picture"/>
            <a:graphic>
              <a:graphicData uri="http://schemas.openxmlformats.org/drawingml/2006/picture">
                <pic:pic>
                  <pic:nvPicPr>
                    <pic:cNvPr descr="figures/fig04_mechanism_ablation.png" id="43" name="Picture"/>
                    <pic:cNvPicPr>
                      <a:picLocks noChangeArrowheads="1" noChangeAspect="1"/>
                    </pic:cNvPicPr>
                  </pic:nvPicPr>
                  <pic:blipFill>
                    <a:blip r:embed="rId41"/>
                    <a:stretch>
                      <a:fillRect/>
                    </a:stretch>
                  </pic:blipFill>
                  <pic:spPr bwMode="auto">
                    <a:xfrm>
                      <a:off x="0" y="0"/>
                      <a:ext cx="5334000" cy="3703670"/>
                    </a:xfrm>
                    <a:prstGeom prst="rect">
                      <a:avLst/>
                    </a:prstGeom>
                    <a:noFill/>
                    <a:ln w="9525">
                      <a:noFill/>
                      <a:headEnd/>
                      <a:tailEnd/>
                    </a:ln>
                  </pic:spPr>
                </pic:pic>
              </a:graphicData>
            </a:graphic>
          </wp:inline>
        </w:drawing>
      </w:r>
    </w:p>
    <w:p>
      <w:pPr>
        <w:pStyle w:val="BodyText"/>
      </w:pPr>
      <w:r>
        <w:rPr>
          <w:b/>
          <w:bCs/>
        </w:rPr>
        <w:t xml:space="preserve">Figure 4 | Mechanism controls.</w:t>
      </w:r>
      <w:r>
        <w:t xml:space="preserve"> </w:t>
      </w:r>
      <w:r>
        <w:t xml:space="preserve">Proposal, allocator, action, constraint and</w:t>
      </w:r>
      <w:r>
        <w:t xml:space="preserve"> </w:t>
      </w:r>
      <w:r>
        <w:t xml:space="preserve">writeback controls are compared under the same public-data protocol. Deleting</w:t>
      </w:r>
      <w:r>
        <w:t xml:space="preserve"> </w:t>
      </w:r>
      <w:r>
        <w:t xml:space="preserve">the action lowers historical strict FoM, whereas deleting the hard constraint</w:t>
      </w:r>
      <w:r>
        <w:t xml:space="preserve"> </w:t>
      </w:r>
      <w:r>
        <w:t xml:space="preserve">raises agreement with noisy labels while violating the planning contract.</w:t>
      </w:r>
      <w:r>
        <w:t xml:space="preserve"> </w:t>
      </w:r>
      <w:r>
        <w:t xml:space="preserve">These are diagnostic ablations, not causal policy experiments.</w:t>
      </w:r>
    </w:p>
    <w:p>
      <w:pPr>
        <w:pStyle w:val="BodyText"/>
      </w:pPr>
      <w:r>
        <w:drawing>
          <wp:inline>
            <wp:extent cx="5334000" cy="5443359"/>
            <wp:effectExtent b="0" l="0" r="0" t="0"/>
            <wp:docPr descr="" title="" id="45" name="Picture"/>
            <a:graphic>
              <a:graphicData uri="http://schemas.openxmlformats.org/drawingml/2006/picture">
                <pic:pic>
                  <pic:nvPicPr>
                    <pic:cNvPr descr="figures/fig05_planning_maps_2031.png" id="46" name="Picture"/>
                    <pic:cNvPicPr>
                      <a:picLocks noChangeArrowheads="1" noChangeAspect="1"/>
                    </pic:cNvPicPr>
                  </pic:nvPicPr>
                  <pic:blipFill>
                    <a:blip r:embed="rId44"/>
                    <a:stretch>
                      <a:fillRect/>
                    </a:stretch>
                  </pic:blipFill>
                  <pic:spPr bwMode="auto">
                    <a:xfrm>
                      <a:off x="0" y="0"/>
                      <a:ext cx="5334000" cy="5443359"/>
                    </a:xfrm>
                    <a:prstGeom prst="rect">
                      <a:avLst/>
                    </a:prstGeom>
                    <a:noFill/>
                    <a:ln w="9525">
                      <a:noFill/>
                      <a:headEnd/>
                      <a:tailEnd/>
                    </a:ln>
                  </pic:spPr>
                </pic:pic>
              </a:graphicData>
            </a:graphic>
          </wp:inline>
        </w:drawing>
      </w:r>
    </w:p>
    <w:p>
      <w:pPr>
        <w:pStyle w:val="BodyText"/>
      </w:pPr>
      <w:r>
        <w:rPr>
          <w:b/>
          <w:bCs/>
        </w:rPr>
        <w:t xml:space="preserve">Figure 5 | 2031 spatial footprints.</w:t>
      </w:r>
      <w:r>
        <w:t xml:space="preserve"> </w:t>
      </w:r>
      <w:r>
        <w:t xml:space="preserve">Each panel is a 100-m ensemble raster</w:t>
      </w:r>
      <w:r>
        <w:t xml:space="preserve"> </w:t>
      </w:r>
      <w:r>
        <w:t xml:space="preserve">relative to the observed 2024 state. Overlays identify newly built, newly low-</w:t>
      </w:r>
      <w:r>
        <w:t xml:space="preserve"> </w:t>
      </w:r>
      <w:r>
        <w:t xml:space="preserve">vegetated and retired-built cells; they are raster-cell change footprints, not</w:t>
      </w:r>
      <w:r>
        <w:t xml:space="preserve"> </w:t>
      </w:r>
      <w:r>
        <w:t xml:space="preserve">cadastral parcels.</w:t>
      </w:r>
    </w:p>
    <w:bookmarkEnd w:id="47"/>
    <w:bookmarkStart w:id="48"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4"/>
        </w:numPr>
      </w:pPr>
      <w:r>
        <w:rPr>
          <w:b/>
          <w:bCs/>
        </w:rPr>
        <w:t xml:space="preserve">Supplementary Table S4:</w:t>
      </w:r>
      <w:r>
        <w:t xml:space="preserve"> </w:t>
      </w:r>
      <w:r>
        <w:t xml:space="preserve">Raster and vector delivery audit, hashes and layer counts.</w:t>
      </w:r>
    </w:p>
    <w:p>
      <w:pPr>
        <w:pStyle w:val="Compact"/>
        <w:numPr>
          <w:ilvl w:val="0"/>
          <w:numId w:val="1004"/>
        </w:numPr>
      </w:pPr>
      <w:r>
        <w:rPr>
          <w:b/>
          <w:bCs/>
        </w:rPr>
        <w:t xml:space="preserve">Supplementary Figure S1:</w:t>
      </w:r>
      <w:r>
        <w:t xml:space="preserve"> </w:t>
      </w:r>
      <w:r>
        <w:t xml:space="preserve">Dynamic World confidence and high-confidence change sensitivity.</w:t>
      </w:r>
    </w:p>
    <w:p>
      <w:pPr>
        <w:pStyle w:val="Compact"/>
        <w:numPr>
          <w:ilvl w:val="0"/>
          <w:numId w:val="1004"/>
        </w:numPr>
      </w:pPr>
      <w:r>
        <w:rPr>
          <w:b/>
          <w:bCs/>
        </w:rPr>
        <w:t xml:space="preserve">Supplementary Figure S2:</w:t>
      </w:r>
      <w:r>
        <w:t xml:space="preserve"> </w:t>
      </w:r>
      <w:r>
        <w:t xml:space="preserve">Historical maps and change-error maps for 2024.</w:t>
      </w:r>
    </w:p>
    <w:p>
      <w:pPr>
        <w:pStyle w:val="Compact"/>
        <w:numPr>
          <w:ilvl w:val="0"/>
          <w:numId w:val="1004"/>
        </w:numPr>
      </w:pPr>
      <w:r>
        <w:rPr>
          <w:b/>
          <w:bCs/>
        </w:rPr>
        <w:t xml:space="preserve">Supplementary Figure S3:</w:t>
      </w:r>
      <w:r>
        <w:t xml:space="preserve"> </w:t>
      </w:r>
      <w:r>
        <w:t xml:space="preserve">Driver layers and experiment design in English.</w:t>
      </w:r>
    </w:p>
    <w:p>
      <w:r>
        <w:pict>
          <v:rect style="width:0;height:1.5pt" o:hralign="center" o:hrstd="t" o:hr="t"/>
        </w:pic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2026-09-07T10:25:35Z</dcterms:created>
  <dcterms:modified xsi:type="dcterms:W3CDTF">2026-09-07T10:25:35Z</dcterms:modified>
</cp:coreProperties>
</file>

<file path=docProps/custom.xml><?xml version="1.0" encoding="utf-8"?>
<Properties xmlns="http://schemas.openxmlformats.org/officeDocument/2006/custom-properties" xmlns:vt="http://schemas.openxmlformats.org/officeDocument/2006/docPropsVTypes"/>
</file>