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a792ae9d4bbdc58e2d9589266a4679e28954073"/>
    <w:p>
      <w:pPr>
        <w:pStyle w:val="Heading1"/>
      </w:pPr>
      <w:r>
        <w:t xml:space="preserve">Geospatial Kernel: a state–action–constraint core for urban land-cover planning</w:t>
      </w:r>
    </w:p>
    <w:p>
      <w:pPr>
        <w:pStyle w:val="FirstParagraph"/>
      </w:pPr>
      <w:r>
        <w:rPr>
          <w:b/>
          <w:bCs/>
        </w:rPr>
        <w:t xml:space="preserve">An Abu Dhabi benchmark with conditional multi-year scenario analysis</w:t>
      </w:r>
    </w:p>
    <w:p>
      <w:pPr>
        <w:pStyle w:val="BodyText"/>
      </w:pPr>
      <w:r>
        <w:rPr>
          <w:b/>
          <w:bCs/>
        </w:rPr>
        <w:t xml:space="preserve">Author:</w:t>
      </w:r>
      <w:r>
        <w:t xml:space="preserve"> </w:t>
      </w:r>
      <w:r>
        <w:t xml:space="preserve">Ning Zhou</w:t>
      </w:r>
      <w:r>
        <w:br/>
      </w:r>
      <w:r>
        <w:rPr>
          <w:b/>
          <w:bCs/>
        </w:rPr>
        <w:t xml:space="preserve">Affiliation:</w:t>
      </w:r>
      <w:r>
        <w:t xml:space="preserve"> </w:t>
      </w:r>
      <w:r>
        <w:t xml:space="preserve">Beijing Freedo Technology Co., Ltd.</w:t>
      </w:r>
      <w:r>
        <w:br/>
      </w:r>
      <w:r>
        <w:rPr>
          <w:b/>
          <w:bCs/>
        </w:rPr>
        <w:t xml:space="preserve">Corresponding author:</w:t>
      </w:r>
      <w:r>
        <w:t xml:space="preserve"> </w:t>
      </w:r>
      <w:r>
        <w:t xml:space="preserve">Ning Zhou</w:t>
      </w:r>
    </w:p>
    <w:p>
      <w:pPr>
        <w:pStyle w:val="BodyText"/>
      </w:pPr>
      <w:r>
        <w:t xml:space="preserve">This study is not an official Abu Dhabi planning forecast. Correspondence: Ning Zhou, Beijing Freedo Technology Co., Ltd.</w:t>
      </w:r>
    </w:p>
    <w:bookmarkStart w:id="9" w:name="abstract"/>
    <w:p>
      <w:pPr>
        <w:pStyle w:val="Heading2"/>
      </w:pPr>
      <w:r>
        <w:t xml:space="preserve">Abstract</w:t>
      </w:r>
    </w:p>
    <w:p>
      <w:pPr>
        <w:pStyle w:val="FirstParagraph"/>
      </w:pPr>
      <w:r>
        <w:t xml:space="preserve">Urban land-change models test how development demand may be distributed across space. Their planning value depends on explicit actions, hard constraints and consistent multi-year state transitions. We examine Geospatial Kernel, the algorithmic core of a Geospatial World Model, as an auditable state–action–constraint transition system for urban land-cover allocation. The Abu Dhabi benchmark specifies annual public land-cover products from 2017–2024, a 100-m grid, three computational seeds, destination-correct multi-class change Figure of Merit, persistence and minimum-change controls, spatial-block bootstrap intervals, and a planning objective set spanning ecological conversion, accessibility, leapfrog morphology and built-state stability. The implementation contribution is an inspectable proposal–projection–writeback execution boundary with fail-closed data and output audits. The current checkout is intentionally evidence-limited: the aligned raster bundle, GeoFM-LDN checkpoint, FLUS runtime and independent change-validation layer are not available, so no numerical ranking, Pareto frontier or Abu Dhabi forecast is claimed. The benchmark defines the analyses required for a defensible data-complete study and keeps public land-cover stress tests separate from authoritative statutory land use.</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constraint projection.</w:t>
      </w:r>
    </w:p>
    <w:p>
      <w:pPr>
        <w:pStyle w:val="Compact"/>
        <w:numPr>
          <w:ilvl w:val="0"/>
          <w:numId w:val="1001"/>
        </w:numPr>
      </w:pPr>
      <w:r>
        <w:t xml:space="preserve">The execution contract separates learned proposals from constrained admission.</w:t>
      </w:r>
    </w:p>
    <w:p>
      <w:pPr>
        <w:pStyle w:val="Compact"/>
        <w:numPr>
          <w:ilvl w:val="0"/>
          <w:numId w:val="1001"/>
        </w:numPr>
      </w:pPr>
      <w:r>
        <w:t xml:space="preserve">Spatial-block uncertainty and paired model contrasts are prespecified.</w:t>
      </w:r>
    </w:p>
    <w:p>
      <w:pPr>
        <w:pStyle w:val="Compact"/>
        <w:numPr>
          <w:ilvl w:val="0"/>
          <w:numId w:val="1001"/>
        </w:numPr>
      </w:pPr>
      <w:r>
        <w:t xml:space="preserve">Four planning dimensions are reported without a weighted composite score.</w:t>
      </w:r>
    </w:p>
    <w:p>
      <w:pPr>
        <w:pStyle w:val="Compact"/>
        <w:numPr>
          <w:ilvl w:val="0"/>
          <w:numId w:val="1001"/>
        </w:numPr>
      </w:pPr>
      <w:r>
        <w:t xml:space="preserve">Public-data scenarios are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such as GeoSOS-FLUS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reports a multi-horizon pipeline comparison with GeoSOS-FLUS and GeoFM-LDN, including a case in which the Kernel does not win, while making the input imbalance explicit. Third, it turns the future maps into explicit stress-test artefacts, including cumulative rasters and vectorized transition footprints, while preserving the distinction between public-data land cover and authoritative legal land use.</w:t>
      </w:r>
    </w:p>
    <w:bookmarkEnd w:id="12"/>
    <w:bookmarkStart w:id="20" w:name="methods"/>
    <w:p>
      <w:pPr>
        <w:pStyle w:val="Heading2"/>
      </w:pPr>
      <w:r>
        <w:t xml:space="preserve">Methods</w:t>
      </w:r>
    </w:p>
    <w:bookmarkStart w:id="13" w:name="Xbffb9f76145a15c16a91fe0938c182a8beaf14a"/>
    <w:p>
      <w:pPr>
        <w:pStyle w:val="Heading3"/>
      </w:pPr>
      <w:r>
        <w:t xml:space="preserve">Study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13"/>
    <w:bookmarkStart w:id="14"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bookmarkEnd w:id="14"/>
    <w:bookmarkStart w:id="15"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5"/>
    <w:bookmarkStart w:id="16"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6"/>
    <w:bookmarkStart w:id="17" w:name="baselines-and-common-evaluator"/>
    <w:p>
      <w:pPr>
        <w:pStyle w:val="Heading3"/>
      </w:pPr>
      <w:r>
        <w:t xml:space="preserve">Baselines and common evaluator</w:t>
      </w:r>
    </w:p>
    <w:p>
      <w:pPr>
        <w:pStyle w:val="FirstParagraph"/>
      </w:pPr>
      <w:r>
        <w:t xml:space="preserve">GeoSOS-FLUS was run through the external FLUS console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this configuration is recorded as a baseline limitation rather than a calibrated Abu Dhabi model.</w:t>
      </w:r>
    </w:p>
    <w:p>
      <w:pPr>
        <w:pStyle w:val="BodyText"/>
      </w:pPr>
      <w:r>
        <w:t xml:space="preserve">GeoFM-LDN (Geospatial Foundation-Model Latent Dynamics Network) was trained as a demand-conditioned latent-dynamics network on AlphaEarth embeddings. A logistic semantic decoder maps the predicted embedding to six class probabilities, and the constrained allocation step converts those probabilities to a categorical raster. The latent and categorical states are both recursively carried into the next year. GeoFM-LDN is an internal benchmark implementation in this manuscript; the name describes its architecture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built component counts, built components per 1,000 valid pixels, a 500-m leapfrog rate, distances to roads and prior built cells, infrastructure proxy distance and built retirement. Pareto membership is calculated over four distinct dimensions: ecological conversion proxy, major-road accessibility, leapfrog morphology and built-state stability.</w:t>
      </w:r>
    </w:p>
    <w:bookmarkEnd w:id="17"/>
    <w:bookmarkStart w:id="18"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w:t>
      </w:r>
    </w:p>
    <w:bookmarkEnd w:id="18"/>
    <w:bookmarkStart w:id="19"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now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a PASS cannot be inferred from a stale audit file. The vector layers preserve raster-cell geometry and should not be interpreted as cadastral parcels.</w:t>
      </w:r>
    </w:p>
    <w:bookmarkEnd w:id="19"/>
    <w:bookmarkEnd w:id="20"/>
    <w:bookmarkStart w:id="25" w:name="results"/>
    <w:p>
      <w:pPr>
        <w:pStyle w:val="Heading2"/>
      </w:pPr>
      <w:r>
        <w:t xml:space="preserve">Results</w:t>
      </w:r>
    </w:p>
    <w:bookmarkStart w:id="21"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original public-data run was not information-balanced. GeoSOS-FLUS used seven continuous drivers in its external ANN suitability model, whereas Geospatial Kernel used 25 features including current-class indicators and neighbourhood proportions; GeoFM-LDN used AlphaEarth latent embeddings. We therefore treat the historical ranking as a pipeline comparison, not evidence that one learner is intrinsically superior. A matched-input FLUS rerun is required before making model-level superiority claims. All models used seeds 31, 47 and 73. The earlier output audit reported 240 seed and ensemble rasters for a separate 2025–2030 run; the public 2025–2031 delivery is a separate artifact set and must be audited separately.</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bookmarkEnd w:id="21"/>
    <w:bookmarkStart w:id="22" w:name="X6f9a2d4ed804ba663053bc1190ec42a96e5257d"/>
    <w:p>
      <w:pPr>
        <w:pStyle w:val="Heading3"/>
      </w:pPr>
      <w:r>
        <w:t xml:space="preserve">Results status and prespecified reporting</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prespecified controls.</w:t>
      </w:r>
    </w:p>
    <w:p>
      <w:pPr>
        <w:pStyle w:val="BodyText"/>
      </w:pPr>
      <w:r>
        <w:t xml:space="preserve">The planning track starts from the observed 2024 state and applies three</w:t>
      </w:r>
      <w:r>
        <w:t xml:space="preserve"> </w:t>
      </w:r>
      <w:r>
        <w:t xml:space="preserve">synthetic class-count actions through 2031. The four Pareto dimensions are</w:t>
      </w:r>
      <w:r>
        <w:t xml:space="preserve"> </w:t>
      </w:r>
      <w:r>
        <w:t xml:space="preserve">ecological conversion rate (a public proxy), mean distance of new built cells</w:t>
      </w:r>
      <w:r>
        <w:t xml:space="preserve"> </w:t>
      </w:r>
      <w:r>
        <w:t xml:space="preserve">to major roads, 500-m leapfrog rate and removed built pixels. Built-component</w:t>
      </w:r>
      <w:r>
        <w:t xml:space="preserve"> </w:t>
      </w:r>
      <w:r>
        <w:t xml:space="preserve">density, prior-built distance, demand error and neighbourhood fraction remain</w:t>
      </w:r>
      <w:r>
        <w:t xml:space="preserve"> </w:t>
      </w:r>
      <w:r>
        <w:t xml:space="preserve">descriptive diagnostics. No weighted composite score is used.</w:t>
      </w:r>
    </w:p>
    <w:p>
      <w:pPr>
        <w:pStyle w:val="BodyText"/>
      </w:pPr>
      <w:r>
        <w:t xml:space="preserve">No numerical result is reported in this version because the checkout lacks the</w:t>
      </w:r>
      <w:r>
        <w:t xml:space="preserve"> </w:t>
      </w:r>
      <w:r>
        <w:t xml:space="preserve">aligned 2017–2024 raster bundle, current model predictions, GeoFM-LDN</w:t>
      </w:r>
      <w:r>
        <w:t xml:space="preserve"> </w:t>
      </w:r>
      <w:r>
        <w:t xml:space="preserve">checkpoint, FLUS runtime and independent 2023–2024 change-validation layer.</w:t>
      </w:r>
      <w:r>
        <w:t xml:space="preserve"> </w:t>
      </w:r>
      <w:r>
        <w:t xml:space="preserve">The compiler and audit scripts fail closed when any of these inputs are absent;</w:t>
      </w:r>
      <w:r>
        <w:t xml:space="preserve"> </w:t>
      </w:r>
      <w:r>
        <w:t xml:space="preserve">they cannot emit a model ranking, confidence interval, Pareto frontier or</w:t>
      </w:r>
      <w:r>
        <w:t xml:space="preserve"> </w:t>
      </w:r>
      <w:r>
        <w:t xml:space="preserve">future forecast from the legacy artefacts. Once the data-complete run is</w:t>
      </w:r>
      <w:r>
        <w:t xml:space="preserve"> </w:t>
      </w:r>
      <w:r>
        <w:t xml:space="preserve">available, the numerical tables and figures should be generated directly from</w:t>
      </w:r>
      <w:r>
        <w:t xml:space="preserve"> </w:t>
      </w:r>
      <w:r>
        <w:t xml:space="preserve">the versioned reports and their hashes, with no manual transcription.</w:t>
      </w:r>
    </w:p>
    <w:bookmarkEnd w:id="22"/>
    <w:bookmarkStart w:id="23"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A future data-complete run will vary this weight under the same spatial-block uncertainty procedure. Because the neighbourhood fraction appears in both the proposal features and the allocation score, it remains a descriptive diagnostic rather than a standalone compactness objective.</w:t>
      </w:r>
    </w:p>
    <w:bookmarkEnd w:id="23"/>
    <w:bookmarkStart w:id="24" w:name="Xb4da06261b5a2056ba43f7c28dc24c9379bfe9e"/>
    <w:p>
      <w:pPr>
        <w:pStyle w:val="Heading3"/>
      </w:pPr>
      <w:r>
        <w:t xml:space="preserve">Mechanism controls separate learned proposal from runtime projection</w:t>
      </w:r>
    </w:p>
    <w:p>
      <w:pPr>
        <w:pStyle w:val="FirstParagraph"/>
      </w:pPr>
      <w:r>
        <w:t xml:space="preserve">Mechanism controls are specified to separate the learned proposal from runtime</w:t>
      </w:r>
      <w:r>
        <w:t xml:space="preserve"> </w:t>
      </w:r>
      <w:r>
        <w:t xml:space="preserve">projection, hard constraints and recursive writeback. They are not causal</w:t>
      </w:r>
      <w:r>
        <w:t xml:space="preserve"> </w:t>
      </w:r>
      <w:r>
        <w:t xml:space="preserve">policy experiments. A data-complete run will report each control with the</w:t>
      </w:r>
      <w:r>
        <w:t xml:space="preserve"> </w:t>
      </w:r>
      <w:r>
        <w:t xml:space="preserve">strict evaluator, spatial-block intervals and a matched-input baseline; no</w:t>
      </w:r>
      <w:r>
        <w:t xml:space="preserve"> </w:t>
      </w:r>
      <w:r>
        <w:t xml:space="preserve">legacy ablation number is carried into the present manuscript.</w:t>
      </w:r>
    </w:p>
    <w:bookmarkEnd w:id="24"/>
    <w:bookmarkEnd w:id="25"/>
    <w:bookmarkStart w:id="26" w:name="discussion"/>
    <w:p>
      <w:pPr>
        <w:pStyle w:val="Heading2"/>
      </w:pPr>
      <w:r>
        <w:t xml:space="preserve">Discussion</w:t>
      </w:r>
    </w:p>
    <w:p>
      <w:pPr>
        <w:pStyle w:val="FirstParagraph"/>
      </w:pPr>
      <w:r>
        <w:t xml:space="preserve">This study positions Geospatial Kernel as a candidate execution layer for constrained spatial reasoning. The defensible contribution is that a transition proposal and a planning admission rule can be represented and inspected separately. The repository currently supports protocol and code review, but it does not contain the aligned rasters and model artifacts required to re-audit numerical outputs. We therefore make no quantitative superiority or compactness claim.</w:t>
      </w:r>
    </w:p>
    <w:p>
      <w:pPr>
        <w:pStyle w:val="BodyText"/>
      </w:pPr>
      <w:r>
        <w:t xml:space="preserve">The proposed mechanism is explicit: the score compares the learned probability of a target class with that of the current class and adds local support from the target-class neighbourhood. The projection then resolves deficits and excesses while refusing mutable changes inside the hard mask. This can preserve existing built cells when demand is non-decreasing, but that outcome is a structural consequence of the projection and should not be interpreted as evidence of redevelopment realism. Allocator-matched controls are required before attributing morphology to the learned proposal.</w:t>
      </w:r>
    </w:p>
    <w:p>
      <w:pPr>
        <w:pStyle w:val="BodyText"/>
      </w:pPr>
      <w:r>
        <w:t xml:space="preserve">Several limitations define the boundary of the present evidence. The six classes are remote-sensing land cover, not statutory residential, commercial or industrial land use. Dynamic World labels show substantial annual uncertainty and apparent turnover, and the public road, wetland and protected-area layers are proxies rather than Abu Dhabi planning records. Future drivers are frozen at 2024, no observed 2025–2031 labels exist for validation and the scenario targets are synthetic planner-supplied actions. The three-seed summaries quantify stochastic variation but are not population-level uncertainty intervals. The completed controls are public-data stress tests with matched seeds rather than randomized interventions on real planning decisions, and several variants alter more than one implementation detail at a time. We therefore report them as evidence consistent with the execution contract rather than as causal attribution.</w:t>
      </w:r>
    </w:p>
    <w:p>
      <w:pPr>
        <w:pStyle w:val="BodyText"/>
      </w:pPr>
      <w:r>
        <w:t xml:space="preserve">These limitations also indicate a practical path to deployment. An authoritative version would replace the Dynamic World class raster with a locally validated land-use/land-cover crosswalk, replace public proxy masks with statutory water, ecological, airport, port and growth-boundary layers, and supply approved development demand and infrastructure capacities. The Kernel contract can remain unchanged while those domain inputs are upgraded. This separation is useful for governance: a new data source changes the evidence attached to a transition, rather than silently changing the meaning of the execution trace.</w:t>
      </w:r>
    </w:p>
    <w:bookmarkEnd w:id="26"/>
    <w:bookmarkStart w:id="27"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versioned raster audit; the revised audit does not treat the earlier 240-raster 2025–2030 record as evidence for the separate 2025–2031 delivery;</w:t>
      </w:r>
    </w:p>
    <w:p>
      <w:pPr>
        <w:pStyle w:val="Compact"/>
        <w:numPr>
          <w:ilvl w:val="0"/>
          <w:numId w:val="1002"/>
        </w:numPr>
      </w:pPr>
      <w:r>
        <w:rPr>
          <w:rStyle w:val="VerbatimChar"/>
        </w:rPr>
        <w:t xml:space="preserve">data_audit.json</w:t>
      </w:r>
      <w:r>
        <w:t xml:space="preserve">,</w:t>
      </w:r>
      <w:r>
        <w:t xml:space="preserve"> </w:t>
      </w:r>
      <w:r>
        <w:rPr>
          <w:rStyle w:val="VerbatimChar"/>
        </w:rPr>
        <w:t xml:space="preserve">protocol.json</w:t>
      </w:r>
      <w:r>
        <w:t xml:space="preserve">,</w:t>
      </w:r>
      <w:r>
        <w:t xml:space="preserve"> </w:t>
      </w:r>
      <w:r>
        <w:rPr>
          <w:rStyle w:val="VerbatimChar"/>
        </w:rPr>
        <w:t xml:space="preserve">gee_input_manifest.json</w:t>
      </w:r>
      <w:r>
        <w:t xml:space="preserve"> </w:t>
      </w:r>
      <w:r>
        <w:t xml:space="preserve">and</w:t>
      </w:r>
      <w:r>
        <w:t xml:space="preserve"> </w:t>
      </w:r>
      <w:r>
        <w:rPr>
          <w:rStyle w:val="VerbatimChar"/>
        </w:rPr>
        <w:t xml:space="preserve">osm_input_manifest.json</w:t>
      </w:r>
      <w:r>
        <w:t xml:space="preserve"> </w:t>
      </w:r>
      <w:r>
        <w:t xml:space="preserve">for data provenance;</w:t>
      </w:r>
    </w:p>
    <w:p>
      <w:pPr>
        <w:pStyle w:val="Compact"/>
        <w:numPr>
          <w:ilvl w:val="0"/>
          <w:numId w:val="1002"/>
        </w:numPr>
      </w:pPr>
      <w:r>
        <w:t xml:space="preserve">Large raster files are tracked through repository-relative paths and SHA-256 manifests rather than embedded in this manuscript. The present checkout does not contain the complete</w:t>
      </w:r>
      <w:r>
        <w:t xml:space="preserve"> </w:t>
      </w:r>
      <w:r>
        <w:rPr>
          <w:rStyle w:val="VerbatimChar"/>
        </w:rPr>
        <w:t xml:space="preserve">artifacts/gee</w:t>
      </w:r>
      <w:r>
        <w:t xml:space="preserve">,</w:t>
      </w:r>
      <w:r>
        <w:t xml:space="preserve"> </w:t>
      </w:r>
      <w:r>
        <w:rPr>
          <w:rStyle w:val="VerbatimChar"/>
        </w:rPr>
        <w:t xml:space="preserve">artifacts/bundle</w:t>
      </w:r>
      <w:r>
        <w:t xml:space="preserve"> </w:t>
      </w:r>
      <w:r>
        <w:t xml:space="preserve">or historical prediction rasters, so the experiment cannot be rerun from this repository alone. No private database address, credential or client-only service is required for the intended public-data benchmark, but the missing artifacts must be restored before a reproducibility claim is made.</w:t>
      </w:r>
    </w:p>
    <w:bookmarkEnd w:id="27"/>
    <w:bookmarkStart w:id="28" w:name="code-availability"/>
    <w:p>
      <w:pPr>
        <w:pStyle w:val="Heading2"/>
      </w:pPr>
      <w:r>
        <w:t xml:space="preserve">Code availability</w:t>
      </w:r>
    </w:p>
    <w:p>
      <w:pPr>
        <w:pStyle w:val="FirstParagraph"/>
      </w:pPr>
      <w:r>
        <w:t xml:space="preserve">The analysis scripts, a vendored Geospatial Kernel runtime snapshot, benchmark protocol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data_agent/uwm/geospatial_kernel/runtime.py</w:t>
      </w:r>
      <w:r>
        <w:t xml:space="preserve"> </w:t>
      </w:r>
      <w:r>
        <w:t xml:space="preserve">for the vendored runtime snapshot;</w:t>
      </w:r>
    </w:p>
    <w:p>
      <w:pPr>
        <w:pStyle w:val="Compact"/>
        <w:numPr>
          <w:ilvl w:val="0"/>
          <w:numId w:val="1003"/>
        </w:numPr>
      </w:pPr>
      <w:r>
        <w:rPr>
          <w:rStyle w:val="VerbatimChar"/>
        </w:rPr>
        <w:t xml:space="preserve">render_nature_figures.py</w:t>
      </w:r>
      <w:r>
        <w:t xml:space="preserve"> </w:t>
      </w:r>
      <w:r>
        <w:t xml:space="preserve">for publication artwork.</w:t>
      </w:r>
    </w:p>
    <w:p>
      <w:pPr>
        <w:pStyle w:val="FirstParagraph"/>
      </w:pPr>
      <w:r>
        <w:t xml:space="preserve">GeoFM-LDN code and checkpoints are not included in this repository and remain a reproducibility blocker. A public release URL, archival DOI and corresponding-author e-mail should be added at submission.</w:t>
      </w:r>
    </w:p>
    <w:bookmarkEnd w:id="28"/>
    <w:bookmarkStart w:id="29"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None.</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29"/>
    <w:bookmarkStart w:id="30"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30"/>
    <w:bookmarkStart w:id="34" w:name="figure-legends"/>
    <w:p>
      <w:pPr>
        <w:pStyle w:val="Heading2"/>
      </w:pPr>
      <w:r>
        <w:t xml:space="preserve">Figure legends</w:t>
      </w:r>
    </w:p>
    <w:p>
      <w:pPr>
        <w:pStyle w:val="CaptionedFigure"/>
      </w:pPr>
      <w:r>
        <w:drawing>
          <wp:inline>
            <wp:extent cx="5334000" cy="3383237"/>
            <wp:effectExtent b="0" l="0" r="0" t="0"/>
            <wp:docPr descr="Figure 1: benchmark and execution contract" title="" id="32" name="Picture"/>
            <a:graphic>
              <a:graphicData uri="http://schemas.openxmlformats.org/drawingml/2006/picture">
                <pic:pic>
                  <pic:nvPicPr>
                    <pic:cNvPr descr="figures/fig01_benchmark_contract.png" id="33" name="Picture"/>
                    <pic:cNvPicPr>
                      <a:picLocks noChangeArrowheads="1" noChangeAspect="1"/>
                    </pic:cNvPicPr>
                  </pic:nvPicPr>
                  <pic:blipFill>
                    <a:blip r:embed="rId31"/>
                    <a:stretch>
                      <a:fillRect/>
                    </a:stretch>
                  </pic:blipFill>
                  <pic:spPr bwMode="auto">
                    <a:xfrm>
                      <a:off x="0" y="0"/>
                      <a:ext cx="5334000" cy="3383237"/>
                    </a:xfrm>
                    <a:prstGeom prst="rect">
                      <a:avLst/>
                    </a:prstGeom>
                    <a:noFill/>
                    <a:ln w="9525">
                      <a:noFill/>
                      <a:headEnd/>
                      <a:tailEnd/>
                    </a:ln>
                  </pic:spPr>
                </pic:pic>
              </a:graphicData>
            </a:graphic>
          </wp:inline>
        </w:drawing>
      </w:r>
    </w:p>
    <w:p>
      <w:pPr>
        <w:pStyle w:val="ImageCaption"/>
      </w:pPr>
      <w:r>
        <w:t xml:space="preserve">Figure 1: benchmark and execution contract</w:t>
      </w:r>
    </w:p>
    <w:p>
      <w:pPr>
        <w:pStyle w:val="BodyText"/>
      </w:pPr>
      <w:r>
        <w:rPr>
          <w:b/>
          <w:bCs/>
        </w:rPr>
        <w:t xml:space="preserve">Figure 1 | Benchmark and Geospatial Kernel execution contract.</w:t>
      </w:r>
      <w:r>
        <w:t xml:space="preserve"> </w:t>
      </w:r>
      <w:r>
        <w:t xml:space="preserve">Public annual land-cover, embedding, night-light, terrain and road layers are aligned to a common 100-m Abu Dhabi grid. Each model receives the same state, action and public proxy exclusions. The Geospatial Kernel exposes a learned proposal, constraint projection and state writeback. Historical, open-loop and planning tracks use one audit contract. The schematic does not imply statutory planning boundaries.</w:t>
      </w:r>
    </w:p>
    <w:p>
      <w:pPr>
        <w:pStyle w:val="BodyText"/>
      </w:pPr>
      <w:r>
        <w:t xml:space="preserve">Figures 2–5 are intentionally withheld from the formal manuscript until the</w:t>
      </w:r>
      <w:r>
        <w:t xml:space="preserve"> </w:t>
      </w:r>
      <w:r>
        <w:t xml:space="preserve">strict evaluator, spatial-block uncertainty, matched-input baseline and</w:t>
      </w:r>
      <w:r>
        <w:t xml:space="preserve"> </w:t>
      </w:r>
      <w:r>
        <w:t xml:space="preserve">independent change validation have been run. Existing image files remain in</w:t>
      </w:r>
      <w:r>
        <w:t xml:space="preserve"> </w:t>
      </w:r>
      <w:r>
        <w:t xml:space="preserve">the repository as non-inferential lineage artefacts and are not cited here.</w:t>
      </w:r>
    </w:p>
    <w:bookmarkEnd w:id="34"/>
    <w:bookmarkStart w:id="35"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w:t>
      </w:r>
    </w:p>
    <w:p>
      <w:pPr>
        <w:pStyle w:val="Compact"/>
        <w:numPr>
          <w:ilvl w:val="0"/>
          <w:numId w:val="1004"/>
        </w:numPr>
      </w:pPr>
      <w:r>
        <w:rPr>
          <w:b/>
          <w:bCs/>
        </w:rPr>
        <w:t xml:space="preserve">Supplementary Table S3:</w:t>
      </w:r>
      <w:r>
        <w:t xml:space="preserve"> </w:t>
      </w:r>
      <w:r>
        <w:t xml:space="preserve">Raster and vector delivery audit, hashes and layer counts.</w:t>
      </w:r>
    </w:p>
    <w:p>
      <w:pPr>
        <w:pStyle w:val="Compact"/>
        <w:numPr>
          <w:ilvl w:val="0"/>
          <w:numId w:val="1004"/>
        </w:numPr>
      </w:pPr>
      <w:r>
        <w:rPr>
          <w:b/>
          <w:bCs/>
        </w:rPr>
        <w:t xml:space="preserve">Supplementary Figure S1:</w:t>
      </w:r>
      <w:r>
        <w:t xml:space="preserve"> </w:t>
      </w:r>
      <w:r>
        <w:t xml:space="preserve">Dynamic World confidence and high-confidence change sensitivity.</w:t>
      </w:r>
    </w:p>
    <w:p>
      <w:pPr>
        <w:pStyle w:val="Compact"/>
        <w:numPr>
          <w:ilvl w:val="0"/>
          <w:numId w:val="1004"/>
        </w:numPr>
      </w:pPr>
      <w:r>
        <w:rPr>
          <w:b/>
          <w:bCs/>
        </w:rPr>
        <w:t xml:space="preserve">Supplementary Figure S2:</w:t>
      </w:r>
      <w:r>
        <w:t xml:space="preserve"> </w:t>
      </w:r>
      <w:r>
        <w:t xml:space="preserve">Historical maps and change-error maps for 2024.</w:t>
      </w:r>
    </w:p>
    <w:p>
      <w:pPr>
        <w:pStyle w:val="Compact"/>
        <w:numPr>
          <w:ilvl w:val="0"/>
          <w:numId w:val="1004"/>
        </w:numPr>
      </w:pPr>
      <w:r>
        <w:rPr>
          <w:b/>
          <w:bCs/>
        </w:rPr>
        <w:t xml:space="preserve">Supplementary Figure S3:</w:t>
      </w:r>
      <w:r>
        <w:t xml:space="preserve"> </w:t>
      </w:r>
      <w:r>
        <w:t xml:space="preserve">Driver layers and experiment design in English.</w:t>
      </w:r>
    </w:p>
    <w:p>
      <w:r>
        <w:pict>
          <v:rect style="width:0;height:1.5pt" o:hralign="center" o:hrstd="t" o:hr="t"/>
        </w:pic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2026-09-04T14:42:48Z</dcterms:created>
  <dcterms:modified xsi:type="dcterms:W3CDTF">2026-09-04T14:42:48Z</dcterms:modified>
</cp:coreProperties>
</file>

<file path=docProps/custom.xml><?xml version="1.0" encoding="utf-8"?>
<Properties xmlns="http://schemas.openxmlformats.org/officeDocument/2006/custom-properties" xmlns:vt="http://schemas.openxmlformats.org/officeDocument/2006/docPropsVTypes"/>
</file>