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f1511a8109b24064870830db84b786f9ef0e11"/>
    <w:p>
      <w:pPr>
        <w:pStyle w:val="Heading1"/>
      </w:pPr>
      <w:r>
        <w:t xml:space="preserve">Auditing constrained geospatial allocation under noisy annual land-cover labels</w:t>
      </w:r>
    </w:p>
    <w:p>
      <w:pPr>
        <w:pStyle w:val="FirstParagraph"/>
      </w:pPr>
      <w:r>
        <w:rPr>
          <w:b/>
          <w:bCs/>
        </w:rPr>
        <w:t xml:space="preserve">A Geospatial Kernel benchmark in Abu Dhabi</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t xml:space="preserve">This study is not an official Abu Dhabi planning forecast. Correspondence: Ning Zhou, Beijing Freedo Technology Co., Ltd.</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The regenerated strict FoM was 0.1950 for Geospatial Kernel, 0.1256 for the FLUS-style ANN–CA console and 0.1616 for GeoFM-LDN in 2023; after recursive two-step rollout in 2024 the values were 0.2520, 0.1782 and 0.2708, respectively. On the high-confidence label subset, all three models had FoM 0.000 in 2023 and the 2024 maximum was 0.0188, showing that full-grid agreement is strongly conditioned by label noise. The planning track is therefore reported as scenario stress testing, not official forecasting. The released public bundle, source, checkpoints, rasters, vector footprints and audit manifests support locked-environment reproduction, while cross-platform Kernel reruns differ by about 1% of cells and approximately 0.001 FoM.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High-confidence labels reveal near-zero measured change skill.</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treats high-confidence subset failure as a primary result under noisy annual labels, rather than as a minor diagnostic. Third, it turns future maps into explicit stress-test artefacts, including cumulative rasters and vectorized transition footprints, while preserving the distinction between public-data land cover and authoritative legal land use.</w:t>
      </w:r>
    </w:p>
    <w:bookmarkEnd w:id="12"/>
    <w:bookmarkStart w:id="20" w:name="methods"/>
    <w:p>
      <w:pPr>
        <w:pStyle w:val="Heading2"/>
      </w:pPr>
      <w:r>
        <w:t xml:space="preserve">Methods</w:t>
      </w:r>
    </w:p>
    <w:bookmarkStart w:id="13" w:name="Xbffb9f76145a15c16a91fe0938c182a8beaf14a"/>
    <w:p>
      <w:pPr>
        <w:pStyle w:val="Heading3"/>
      </w:pPr>
      <w:r>
        <w:t xml:space="preserve">Study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3"/>
    <w:bookmarkStart w:id="14"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4"/>
    <w:bookmarkStart w:id="15"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5"/>
    <w:bookmarkStart w:id="16"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6"/>
    <w:bookmarkStart w:id="17" w:name="baselines-and-common-evaluator"/>
    <w:p>
      <w:pPr>
        <w:pStyle w:val="Heading3"/>
      </w:pPr>
      <w:r>
        <w:t xml:space="preserve">Baselines and common evaluator</w:t>
      </w:r>
    </w:p>
    <w:p>
      <w:pPr>
        <w:pStyle w:val="FirstParagraph"/>
      </w:pPr>
      <w:r>
        <w:t xml:space="preserve">The baseline was run through a FLUS-style ANN–CA console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supplied Mach-O executable cannot be traced to a reproducible upstream release or source commit, so we label this control “FLUS-style ANN–CA console (untraceable build)” and do not claim equivalence to the Liu et al. (2017) implementation. A matched 25-feature input attempt terminated with a segmentation fault in the supplied binary before producing a valid probability surface; it is retained as a documented build limitation, not as a completed matched-input comparison.</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all-built component counts, a 500-m leapfrog rate, distances to roads and prior built cells, infrastructure proxy distance and built retirement. Pareto membership is calculated within each scenario over four release objectives: major-road distance, prior-built distance, new-built component density and ecological conversion rate. Vegetation gain is a scenario input and remains descriptive, not an objective.</w:t>
      </w:r>
    </w:p>
    <w:bookmarkEnd w:id="17"/>
    <w:bookmarkStart w:id="18"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We therefore report v5 as a release objective set rather than a prespecified planning preference, and treat its sensitivity results as robustness diagnostics.</w:t>
      </w:r>
    </w:p>
    <w:bookmarkEnd w:id="18"/>
    <w:bookmarkStart w:id="19"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19"/>
    <w:bookmarkEnd w:id="20"/>
    <w:bookmarkStart w:id="25" w:name="results"/>
    <w:p>
      <w:pPr>
        <w:pStyle w:val="Heading2"/>
      </w:pPr>
      <w:r>
        <w:t xml:space="preserve">Results</w:t>
      </w:r>
    </w:p>
    <w:bookmarkStart w:id="21"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an unmatched-input pipeline comparison, not evidence that one learner is intrinsically superior. The archived FLUS console is a Mach-O arm64 executable whose original source/version cannot be independently rebuilt from this release, so its results are bounded to the supplied Apple-Silicon binary and are not asserted to be bitwise equivalent to an upstream build. All models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1"/>
    <w:bookmarkStart w:id="22"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5. It uses mean distance of new built cells to major roads, mean distance to</w:t>
      </w:r>
      <w:r>
        <w:t xml:space="preserve"> </w:t>
      </w:r>
      <w:r>
        <w:t xml:space="preserve">pre-existing built cells, connected components formed by newly built cells per</w:t>
      </w:r>
      <w:r>
        <w:t xml:space="preserve"> </w:t>
      </w:r>
      <w:r>
        <w:t xml:space="preserve">1,000 valid cells and ecological conversion rate. All four are public-data</w:t>
      </w:r>
      <w:r>
        <w:t xml:space="preserve"> </w:t>
      </w:r>
      <w:r>
        <w:t xml:space="preserve">proxies. Vegetation gain is excluded because it is supplied directly by the</w:t>
      </w:r>
      <w:r>
        <w:t xml:space="preserve"> </w:t>
      </w:r>
      <w:r>
        <w:t xml:space="preserve">scenario action, and all-built component density is reported only as a</w:t>
      </w:r>
      <w:r>
        <w:t xml:space="preserve"> </w:t>
      </w:r>
      <w:r>
        <w:t xml:space="preserve">diagnostic because it can be changed by built-cell retirement. No weighted</w:t>
      </w:r>
      <w:r>
        <w:t xml:space="preserve"> </w:t>
      </w:r>
      <w:r>
        <w:t xml:space="preserve">composite score is used. Because the objective set changed across the four</w:t>
      </w:r>
      <w:r>
        <w:t xml:space="preserve"> </w:t>
      </w:r>
      <w:r>
        <w:t xml:space="preserve">review rounds, we disclose the lineage: v1 included seven access, ecological,</w:t>
      </w:r>
      <w:r>
        <w:t xml:space="preserve"> </w:t>
      </w:r>
      <w:r>
        <w:t xml:space="preserve">neighbourhood and gain terms; v2 proposed roads, prior-built distance,</w:t>
      </w:r>
      <w:r>
        <w:t xml:space="preserve"> </w:t>
      </w:r>
      <w:r>
        <w:t xml:space="preserve">fragmentation and leapfrog rate but was not run; v3 used ecological conversion,</w:t>
      </w:r>
      <w:r>
        <w:t xml:space="preserve"> </w:t>
      </w:r>
      <w:r>
        <w:t xml:space="preserve">roads, leapfrog rate and built retirement; and v4 combined roads, prior-built</w:t>
      </w:r>
      <w:r>
        <w:t xml:space="preserve"> </w:t>
      </w:r>
      <w:r>
        <w:t xml:space="preserve">distance, all-built fragmentation and vegetation gain. The current release</w:t>
      </w:r>
      <w:r>
        <w:t xml:space="preserve"> </w:t>
      </w:r>
      <w:r>
        <w:t xml:space="preserve">replaces v4 after the review identified scenario-input leakage and retirement</w:t>
      </w:r>
      <w:r>
        <w:t xml:space="preserve"> </w:t>
      </w:r>
      <w:r>
        <w:t xml:space="preserve">confounding. Sensitivity sets are recomputed on the same rasters and reported as</w:t>
      </w:r>
      <w:r>
        <w:t xml:space="preserve"> </w:t>
      </w:r>
      <w:r>
        <w:t xml:space="preserve">robustness analyses, not as additional preregistered claims. These are measurable</w:t>
      </w:r>
      <w:r>
        <w:t xml:space="preserve"> </w:t>
      </w:r>
      <w:r>
        <w:t xml:space="preserve">public-data proxies rather than claims about welfare, equity or statutory zoning.</w:t>
      </w:r>
    </w:p>
    <w:p>
      <w:pPr>
        <w:pStyle w:val="BodyText"/>
      </w:pPr>
      <w:r>
        <w:t xml:space="preserve">The recovered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0.1950</w:t>
      </w:r>
      <w:r>
        <w:t xml:space="preserve"> </w:t>
      </w:r>
      <w:r>
        <w:t xml:space="preserve">and 0.1616 for the FLUS-style console, Geospatial Kernel and GeoFM-LDN in 2023,</w:t>
      </w:r>
      <w:r>
        <w:t xml:space="preserve"> </w:t>
      </w:r>
      <w:r>
        <w:t xml:space="preserve">and 0.1782, 0.2520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Values are means across the three</w:t>
      </w:r>
      <w:r>
        <w:t xml:space="preserve"> </w:t>
      </w:r>
      <w:r>
        <w:t xml:space="preserve">frozen computational seeds; the strict multi-class change FoM is the primary</w:t>
      </w:r>
      <w:r>
        <w:t xml:space="preserve"> </w:t>
      </w:r>
      <w:r>
        <w:t xml:space="preserve">metric and the remaining columns are diagnostics. Persistence and random</w:t>
      </w:r>
      <w:r>
        <w:t xml:space="preserve"> </w:t>
      </w:r>
      <w:r>
        <w:t xml:space="preserve">minimum-change are explicit zero-model controls rather than learned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rPr>
                <w:b/>
                <w:bCs/>
              </w:rPr>
              <w:t xml:space="preserve">0.1950</w:t>
            </w:r>
          </w:p>
        </w:tc>
        <w:tc>
          <w:tcPr/>
          <w:p>
            <w:pPr>
              <w:pStyle w:val="Compact"/>
              <w:jc w:val="right"/>
            </w:pPr>
            <w:r>
              <w:t xml:space="preserve">0.1616</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0.2520</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the FLUS-style control was 0.0692 [0.0546, 0.0859] and GeoFM-LDN</w:t>
      </w:r>
      <w:r>
        <w:t xml:space="preserve"> </w:t>
      </w:r>
      <w:r>
        <w:t xml:space="preserve">minus Kernel was −0.0333 [−0.0478, −0.0201]. For 2024, GeoFM-LDN minus Kernel</w:t>
      </w:r>
      <w:r>
        <w:t xml:space="preserve"> </w:t>
      </w:r>
      <w:r>
        <w:t xml:space="preserve">was 0.0184 [0.0046, 0.0321].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Figure 2 shows</w:t>
      </w:r>
      <w:r>
        <w:t xml:space="preserve"> </w:t>
      </w:r>
      <w:r>
        <w:t xml:space="preserve">the four historical metrics alongside the persistence and random minimum-change</w:t>
      </w:r>
      <w:r>
        <w:t xml:space="preserve"> </w:t>
      </w:r>
      <w:r>
        <w:t xml:space="preserve">controls; bars use three-seed population standard deviations, whereas the</w:t>
      </w:r>
      <w:r>
        <w:t xml:space="preserve"> </w:t>
      </w:r>
      <w:r>
        <w:t xml:space="preserve">paired spatial-block intervals above are the uncertainty summaries used for</w:t>
      </w:r>
      <w:r>
        <w:t xml:space="preserve"> </w:t>
      </w:r>
      <w:r>
        <w:t xml:space="preserve">model contrasts.</w:t>
      </w:r>
    </w:p>
    <w:p>
      <w:pPr>
        <w:pStyle w:val="BodyText"/>
      </w:pPr>
      <w:r>
        <w:t xml:space="preserve">The reliability sensitivity is substantially less favourable. Requiring both</w:t>
      </w:r>
      <w:r>
        <w:t xml:space="preserve"> </w:t>
      </w:r>
      <w:r>
        <w:t xml:space="preserve">the origin and target Dynamic World mean top probability to exceed 0.5 leaves</w:t>
      </w:r>
      <w:r>
        <w:t xml:space="preserve"> </w:t>
      </w:r>
      <w:r>
        <w:t xml:space="preserve">strict FoM at 0.000 for all three models in 2023; in 2024 the means are 0.004</w:t>
      </w:r>
      <w:r>
        <w:t xml:space="preserve"> </w:t>
      </w:r>
      <w:r>
        <w:t xml:space="preserve">for the FLUS-style console, 0.005 for Geospatial Kernel and 0.019 for GeoFM-LDN. This is</w:t>
      </w:r>
      <w:r>
        <w:t xml:space="preserve"> </w:t>
      </w:r>
      <w:r>
        <w:t xml:space="preserve">a label-quality diagnostic, not an independent validation set. Dynamic World</w:t>
      </w:r>
      <w:r>
        <w:t xml:space="preserve"> </w:t>
      </w:r>
      <w:r>
        <w:t xml:space="preserve">also reports built pixels increasing from 9,359 in 2022 to 15,598 in 2024</w:t>
      </w:r>
      <w:r>
        <w:t xml:space="preserve"> </w:t>
      </w:r>
      <w:r>
        <w:t xml:space="preserve">(67%), while the median one-year reversion fraction is 0.3611 and the mean</w:t>
      </w:r>
      <w:r>
        <w:t xml:space="preserve"> </w:t>
      </w:r>
      <w:r>
        <w:t xml:space="preserve">fraction of cells below confidence 0.5 is 0.5497. Test-year change counts are</w:t>
      </w:r>
      <w:r>
        <w:t xml:space="preserve"> </w:t>
      </w:r>
      <w:r>
        <w:t xml:space="preserve">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A Windows rerun with the same source and inputs produced</w:t>
      </w:r>
      <w:r>
        <w:t xml:space="preserve"> </w:t>
      </w:r>
      <w:r>
        <w:t xml:space="preserve">approximately 498–592 differing cells per seed in 2023 and 1,005–1,147 in 2024,</w:t>
      </w:r>
      <w:r>
        <w:t xml:space="preserve"> </w:t>
      </w:r>
      <w:r>
        <w:t xml:space="preserve">or about 1% of the valid grid, with strict FoM differences of roughly 0.001.</w:t>
      </w:r>
      <w:r>
        <w:t xml:space="preserve"> </w:t>
      </w:r>
      <w:r>
        <w:t xml:space="preserve">The paired spatial-block intervals above are much wider than this platform</w:t>
      </w:r>
      <w:r>
        <w:t xml:space="preserve"> </w:t>
      </w:r>
      <w:r>
        <w:t xml:space="preserve">effect and preserve the same model ordering. The manifest therefore supports</w:t>
      </w:r>
      <w:r>
        <w:t xml:space="preserve"> </w:t>
      </w:r>
      <w:r>
        <w:t xml:space="preserve">cross-platform verification of declared files, but not a claim of bitwise</w:t>
      </w:r>
      <w:r>
        <w:t xml:space="preserve"> </w:t>
      </w:r>
      <w:r>
        <w:t xml:space="preserve">identity for floating-point learner outputs.</w:t>
      </w:r>
    </w:p>
    <w:p>
      <w:pPr>
        <w:pStyle w:val="BodyText"/>
      </w:pPr>
      <w:r>
        <w:t xml:space="preserve">The planning compiler compares the three models within each of the three</w:t>
      </w:r>
      <w:r>
        <w:t xml:space="preserve"> </w:t>
      </w:r>
      <w:r>
        <w:t xml:space="preserve">scenarios. At 2031, the FLUS-style control has new-built component densities of</w:t>
      </w:r>
      <w:r>
        <w:t xml:space="preserve"> </w:t>
      </w:r>
      <w:r>
        <w:t xml:space="preserve">4.24–4.67 per 1,000 valid cells, the Kernel 2.97–5.62 and GeoFM-LDN 5.08–6.56.</w:t>
      </w:r>
      <w:r>
        <w:t xml:space="preserve"> </w:t>
      </w:r>
      <w:r>
        <w:t xml:space="preserve">The Kernel is closer to major roads and prior built cells, whereas its</w:t>
      </w:r>
      <w:r>
        <w:t xml:space="preserve"> </w:t>
      </w:r>
      <w:r>
        <w:t xml:space="preserve">fragmentation penalty remains visible. Under the release objective set, the</w:t>
      </w:r>
      <w:r>
        <w:t xml:space="preserve"> </w:t>
      </w:r>
      <w:r>
        <w:t xml:space="preserve">within-scenario frontiers contain FLUS-style and Kernel candidates in all three</w:t>
      </w:r>
      <w:r>
        <w:t xml:space="preserve"> </w:t>
      </w:r>
      <w:r>
        <w:t xml:space="preserve">scenarios; the GeoFM-LDN candidate is additionally non-dominated in the</w:t>
      </w:r>
      <w:r>
        <w:t xml:space="preserve"> </w:t>
      </w:r>
      <w:r>
        <w:t xml:space="preserve">ecological-priority scenario. All sensitivity variants retain the FLUS-style/</w:t>
      </w:r>
      <w:r>
        <w:t xml:space="preserve"> </w:t>
      </w:r>
      <w:r>
        <w:t xml:space="preserve">Kernel two-model structure; GeoFM-LDN remains additionally non-dominated for</w:t>
      </w:r>
      <w:r>
        <w:t xml:space="preserve"> </w:t>
      </w:r>
      <w:r>
        <w:t xml:space="preserve">ecological-priority growth in the two variants that retain ecological</w:t>
      </w:r>
      <w:r>
        <w:t xml:space="preserve"> </w:t>
      </w:r>
      <w:r>
        <w:t xml:space="preserve">conversion, but not when that objective is omitted. These statements are conditional</w:t>
      </w:r>
      <w:r>
        <w:t xml:space="preserve"> </w:t>
      </w:r>
      <w:r>
        <w:t xml:space="preserve">on public proxy layers and synthetic actions, not model superiority claims.</w:t>
      </w:r>
      <w:r>
        <w:t xml:space="preserve"> </w:t>
      </w: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The resulting 2031 ensemble rasters</w:t>
      </w:r>
      <w:r>
        <w:t xml:space="preserve"> </w:t>
      </w:r>
      <w:r>
        <w:t xml:space="preserve">and their dissolved cell-change footprints are shown in Fig. 5; they are</w:t>
      </w:r>
      <w:r>
        <w:t xml:space="preserve"> </w:t>
      </w:r>
      <w:r>
        <w:t xml:space="preserve">scenario-conditioned land-cover maps, not parcel boundaries or statutory zoning</w:t>
      </w:r>
      <w:r>
        <w:t xml:space="preserve"> </w:t>
      </w:r>
      <w:r>
        <w:t xml:space="preserve">maps.</w:t>
      </w:r>
    </w:p>
    <w:p>
      <w:pPr>
        <w:pStyle w:val="BodyText"/>
      </w:pPr>
      <w:r>
        <w:rPr>
          <w:b/>
          <w:bCs/>
        </w:rPr>
        <w:t xml:space="preserve">Table 2 | 2031 within-scenario planning objectives.</w:t>
      </w:r>
      <w:r>
        <w:t xml:space="preserve"> </w:t>
      </w:r>
      <w:r>
        <w:t xml:space="preserve">Values are means across</w:t>
      </w:r>
      <w:r>
        <w:t xml:space="preserve"> </w:t>
      </w:r>
      <w:r>
        <w:t xml:space="preserve">three seeds. Distances are metres, component density is connected new-built</w:t>
      </w:r>
      <w:r>
        <w:t xml:space="preserve"> </w:t>
      </w:r>
      <w:r>
        <w:t xml:space="preserve">components per 1,000 valid cells, and ecological conversion is the fraction of</w:t>
      </w:r>
      <w:r>
        <w:t xml:space="preserve"> </w:t>
      </w:r>
      <w:r>
        <w:t xml:space="preserve">new-built cells whose origin class was woody, low vegetation or wetland. A star</w:t>
      </w:r>
      <w:r>
        <w:t xml:space="preserve"> </w:t>
      </w:r>
      <w:r>
        <w:t xml:space="preserve">denotes membership in the primary within-scenario Pareto frontier.</w:t>
      </w:r>
    </w:p>
    <w:tbl>
      <w:tblPr>
        <w:tblStyle w:val="Table"/>
        <w:tblW w:type="pct" w:w="5000"/>
        <w:tblLayout w:type="fixed"/>
        <w:tblLook w:firstRow="1" w:lastRow="0" w:firstColumn="0" w:lastColumn="0" w:noHBand="0" w:noVBand="0" w:val="0020"/>
      </w:tblPr>
      <w:tblGrid>
        <w:gridCol w:w="880"/>
        <w:gridCol w:w="880"/>
        <w:gridCol w:w="1173"/>
        <w:gridCol w:w="1173"/>
        <w:gridCol w:w="1173"/>
        <w:gridCol w:w="1173"/>
        <w:gridCol w:w="1466"/>
      </w:tblGrid>
      <w:tr>
        <w:trPr>
          <w:tblHeader w:val="on"/>
        </w:trPr>
        <w:tc>
          <w:tcPr/>
          <w:p>
            <w:pPr>
              <w:pStyle w:val="Compact"/>
            </w:pPr>
            <w:r>
              <w:t xml:space="preserve">Model</w:t>
            </w:r>
          </w:p>
        </w:tc>
        <w:tc>
          <w:tcPr/>
          <w:p>
            <w:pPr>
              <w:pStyle w:val="Compact"/>
            </w:pPr>
            <w:r>
              <w:t xml:space="preserve">Scenario</w:t>
            </w:r>
          </w:p>
        </w:tc>
        <w:tc>
          <w:tcPr/>
          <w:p>
            <w:pPr>
              <w:pStyle w:val="Compact"/>
              <w:jc w:val="right"/>
            </w:pPr>
            <w:r>
              <w:t xml:space="preserve">Major-road distance</w:t>
            </w:r>
          </w:p>
        </w:tc>
        <w:tc>
          <w:tcPr/>
          <w:p>
            <w:pPr>
              <w:pStyle w:val="Compact"/>
              <w:jc w:val="right"/>
            </w:pPr>
            <w:r>
              <w:t xml:space="preserve">Prior-built distance</w:t>
            </w:r>
          </w:p>
        </w:tc>
        <w:tc>
          <w:tcPr/>
          <w:p>
            <w:pPr>
              <w:pStyle w:val="Compact"/>
              <w:jc w:val="right"/>
            </w:pPr>
            <w:r>
              <w:t xml:space="preserve">New-built components/1,000</w:t>
            </w:r>
          </w:p>
        </w:tc>
        <w:tc>
          <w:tcPr/>
          <w:p>
            <w:pPr>
              <w:pStyle w:val="Compact"/>
              <w:jc w:val="right"/>
            </w:pPr>
            <w:r>
              <w:t xml:space="preserve">Ecological conversion</w:t>
            </w:r>
          </w:p>
        </w:tc>
        <w:tc>
          <w:tcPr/>
          <w:p>
            <w:pPr>
              <w:pStyle w:val="Compact"/>
              <w:jc w:val="center"/>
            </w:pPr>
            <w:r>
              <w:t xml:space="preserve">Frontier</w:t>
            </w:r>
          </w:p>
        </w:tc>
      </w:tr>
      <w:tr>
        <w:tc>
          <w:tcPr/>
          <w:p>
            <w:pPr>
              <w:pStyle w:val="Compact"/>
            </w:pPr>
            <w:r>
              <w:t xml:space="preserve">FLUS-style ANN–CA</w:t>
            </w:r>
          </w:p>
        </w:tc>
        <w:tc>
          <w:tcPr/>
          <w:p>
            <w:pPr>
              <w:pStyle w:val="Compact"/>
            </w:pPr>
            <w:r>
              <w:t xml:space="preserve">Moderate</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4.666</w:t>
            </w:r>
          </w:p>
        </w:tc>
        <w:tc>
          <w:tcPr/>
          <w:p>
            <w:pPr>
              <w:pStyle w:val="Compact"/>
              <w:jc w:val="right"/>
            </w:pPr>
            <w:r>
              <w:t xml:space="preserve">0.0168</w:t>
            </w:r>
          </w:p>
        </w:tc>
        <w:tc>
          <w:tcPr/>
          <w:p>
            <w:pPr>
              <w:pStyle w:val="Compact"/>
              <w:jc w:val="center"/>
            </w:pPr>
            <w:r>
              <w:t xml:space="preserve">*</w:t>
            </w:r>
          </w:p>
        </w:tc>
      </w:tr>
      <w:tr>
        <w:tc>
          <w:tcPr/>
          <w:p>
            <w:pPr>
              <w:pStyle w:val="Compact"/>
            </w:pPr>
            <w:r>
              <w:t xml:space="preserve">Geospatial Kernel</w:t>
            </w:r>
          </w:p>
        </w:tc>
        <w:tc>
          <w:tcPr/>
          <w:p>
            <w:pPr>
              <w:pStyle w:val="Compact"/>
            </w:pPr>
            <w:r>
              <w:t xml:space="preserve">Moderate</w:t>
            </w:r>
          </w:p>
        </w:tc>
        <w:tc>
          <w:tcPr/>
          <w:p>
            <w:pPr>
              <w:pStyle w:val="Compact"/>
              <w:jc w:val="right"/>
            </w:pPr>
            <w:r>
              <w:t xml:space="preserve">336.7</w:t>
            </w:r>
          </w:p>
        </w:tc>
        <w:tc>
          <w:tcPr/>
          <w:p>
            <w:pPr>
              <w:pStyle w:val="Compact"/>
              <w:jc w:val="right"/>
            </w:pPr>
            <w:r>
              <w:t xml:space="preserve">117.4</w:t>
            </w:r>
          </w:p>
        </w:tc>
        <w:tc>
          <w:tcPr/>
          <w:p>
            <w:pPr>
              <w:pStyle w:val="Compact"/>
              <w:jc w:val="right"/>
            </w:pPr>
            <w:r>
              <w:t xml:space="preserve">5.619</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Moderate</w:t>
            </w:r>
          </w:p>
        </w:tc>
        <w:tc>
          <w:tcPr/>
          <w:p>
            <w:pPr>
              <w:pStyle w:val="Compact"/>
              <w:jc w:val="right"/>
            </w:pPr>
            <w:r>
              <w:t xml:space="preserve">475.5</w:t>
            </w:r>
          </w:p>
        </w:tc>
        <w:tc>
          <w:tcPr/>
          <w:p>
            <w:pPr>
              <w:pStyle w:val="Compact"/>
              <w:jc w:val="right"/>
            </w:pPr>
            <w:r>
              <w:t xml:space="preserve">239.8</w:t>
            </w:r>
          </w:p>
        </w:tc>
        <w:tc>
          <w:tcPr/>
          <w:p>
            <w:pPr>
              <w:pStyle w:val="Compact"/>
              <w:jc w:val="right"/>
            </w:pPr>
            <w:r>
              <w:t xml:space="preserve">5.757</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Green-priority</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4.578</w:t>
            </w:r>
          </w:p>
        </w:tc>
        <w:tc>
          <w:tcPr/>
          <w:p>
            <w:pPr>
              <w:pStyle w:val="Compact"/>
              <w:jc w:val="right"/>
            </w:pPr>
            <w:r>
              <w:t xml:space="preserve">0.0177</w:t>
            </w:r>
          </w:p>
        </w:tc>
        <w:tc>
          <w:tcPr/>
          <w:p>
            <w:pPr>
              <w:pStyle w:val="Compact"/>
              <w:jc w:val="center"/>
            </w:pPr>
            <w:r>
              <w:t xml:space="preserve">*</w:t>
            </w:r>
          </w:p>
        </w:tc>
      </w:tr>
      <w:tr>
        <w:tc>
          <w:tcPr/>
          <w:p>
            <w:pPr>
              <w:pStyle w:val="Compact"/>
            </w:pPr>
            <w:r>
              <w:t xml:space="preserve">Geospatial Kernel</w:t>
            </w:r>
          </w:p>
        </w:tc>
        <w:tc>
          <w:tcPr/>
          <w:p>
            <w:pPr>
              <w:pStyle w:val="Compact"/>
            </w:pPr>
            <w:r>
              <w:t xml:space="preserve">Green-priority</w:t>
            </w:r>
          </w:p>
        </w:tc>
        <w:tc>
          <w:tcPr/>
          <w:p>
            <w:pPr>
              <w:pStyle w:val="Compact"/>
              <w:jc w:val="right"/>
            </w:pPr>
            <w:r>
              <w:t xml:space="preserve">319.8</w:t>
            </w:r>
          </w:p>
        </w:tc>
        <w:tc>
          <w:tcPr/>
          <w:p>
            <w:pPr>
              <w:pStyle w:val="Compact"/>
              <w:jc w:val="right"/>
            </w:pPr>
            <w:r>
              <w:t xml:space="preserve">111.3</w:t>
            </w:r>
          </w:p>
        </w:tc>
        <w:tc>
          <w:tcPr/>
          <w:p>
            <w:pPr>
              <w:pStyle w:val="Compact"/>
              <w:jc w:val="right"/>
            </w:pPr>
            <w:r>
              <w:t xml:space="preserve">5.381</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Green-priority</w:t>
            </w:r>
          </w:p>
        </w:tc>
        <w:tc>
          <w:tcPr/>
          <w:p>
            <w:pPr>
              <w:pStyle w:val="Compact"/>
              <w:jc w:val="right"/>
            </w:pPr>
            <w:r>
              <w:t xml:space="preserve">452.2</w:t>
            </w:r>
          </w:p>
        </w:tc>
        <w:tc>
          <w:tcPr/>
          <w:p>
            <w:pPr>
              <w:pStyle w:val="Compact"/>
              <w:jc w:val="right"/>
            </w:pPr>
            <w:r>
              <w:t xml:space="preserve">222.8</w:t>
            </w:r>
          </w:p>
        </w:tc>
        <w:tc>
          <w:tcPr/>
          <w:p>
            <w:pPr>
              <w:pStyle w:val="Compact"/>
              <w:jc w:val="right"/>
            </w:pPr>
            <w:r>
              <w:t xml:space="preserve">5.080</w:t>
            </w:r>
          </w:p>
        </w:tc>
        <w:tc>
          <w:tcPr/>
          <w:p>
            <w:pPr>
              <w:pStyle w:val="Compact"/>
              <w:jc w:val="right"/>
            </w:pPr>
            <w:r>
              <w:t xml:space="preserve">0.0000</w:t>
            </w:r>
          </w:p>
        </w:tc>
        <w:tc>
          <w:tcPr/>
          <w:p>
            <w:pPr>
              <w:pStyle w:val="Compact"/>
              <w:jc w:val="center"/>
            </w:pPr>
            <w:r>
              <w:t xml:space="preserve">*</w:t>
            </w:r>
          </w:p>
        </w:tc>
      </w:tr>
      <w:tr>
        <w:tc>
          <w:tcPr/>
          <w:p>
            <w:pPr>
              <w:pStyle w:val="Compact"/>
            </w:pPr>
            <w:r>
              <w:t xml:space="preserve">FLUS-style ANN–CA</w:t>
            </w:r>
          </w:p>
        </w:tc>
        <w:tc>
          <w:tcPr/>
          <w:p>
            <w:pPr>
              <w:pStyle w:val="Compact"/>
            </w:pPr>
            <w:r>
              <w:t xml:space="preserve">High outward</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4.240</w:t>
            </w:r>
          </w:p>
        </w:tc>
        <w:tc>
          <w:tcPr/>
          <w:p>
            <w:pPr>
              <w:pStyle w:val="Compact"/>
              <w:jc w:val="right"/>
            </w:pPr>
            <w:r>
              <w:t xml:space="preserve">0.0131</w:t>
            </w:r>
          </w:p>
        </w:tc>
        <w:tc>
          <w:tcPr/>
          <w:p>
            <w:pPr>
              <w:pStyle w:val="Compact"/>
              <w:jc w:val="center"/>
            </w:pPr>
            <w:r>
              <w:t xml:space="preserve">*</w:t>
            </w:r>
          </w:p>
        </w:tc>
      </w:tr>
      <w:tr>
        <w:tc>
          <w:tcPr/>
          <w:p>
            <w:pPr>
              <w:pStyle w:val="Compact"/>
            </w:pPr>
            <w:r>
              <w:t xml:space="preserve">Geospatial Kernel</w:t>
            </w:r>
          </w:p>
        </w:tc>
        <w:tc>
          <w:tcPr/>
          <w:p>
            <w:pPr>
              <w:pStyle w:val="Compact"/>
            </w:pPr>
            <w:r>
              <w:t xml:space="preserve">High outward</w:t>
            </w:r>
          </w:p>
        </w:tc>
        <w:tc>
          <w:tcPr/>
          <w:p>
            <w:pPr>
              <w:pStyle w:val="Compact"/>
              <w:jc w:val="right"/>
            </w:pPr>
            <w:r>
              <w:t xml:space="preserve">362.5</w:t>
            </w:r>
          </w:p>
        </w:tc>
        <w:tc>
          <w:tcPr/>
          <w:p>
            <w:pPr>
              <w:pStyle w:val="Compact"/>
              <w:jc w:val="right"/>
            </w:pPr>
            <w:r>
              <w:t xml:space="preserve">141.7</w:t>
            </w:r>
          </w:p>
        </w:tc>
        <w:tc>
          <w:tcPr/>
          <w:p>
            <w:pPr>
              <w:pStyle w:val="Compact"/>
              <w:jc w:val="right"/>
            </w:pPr>
            <w:r>
              <w:t xml:space="preserve">4.754</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High outward</w:t>
            </w:r>
          </w:p>
        </w:tc>
        <w:tc>
          <w:tcPr/>
          <w:p>
            <w:pPr>
              <w:pStyle w:val="Compact"/>
              <w:jc w:val="right"/>
            </w:pPr>
            <w:r>
              <w:t xml:space="preserve">507.7</w:t>
            </w:r>
          </w:p>
        </w:tc>
        <w:tc>
          <w:tcPr/>
          <w:p>
            <w:pPr>
              <w:pStyle w:val="Compact"/>
              <w:jc w:val="right"/>
            </w:pPr>
            <w:r>
              <w:t xml:space="preserve">264.4</w:t>
            </w:r>
          </w:p>
        </w:tc>
        <w:tc>
          <w:tcPr/>
          <w:p>
            <w:pPr>
              <w:pStyle w:val="Compact"/>
              <w:jc w:val="right"/>
            </w:pPr>
            <w:r>
              <w:t xml:space="preserve">6.556</w:t>
            </w:r>
          </w:p>
        </w:tc>
        <w:tc>
          <w:tcPr/>
          <w:p>
            <w:pPr>
              <w:pStyle w:val="Compact"/>
              <w:jc w:val="right"/>
            </w:pPr>
            <w:r>
              <w:t xml:space="preserve">0.0000</w:t>
            </w:r>
          </w:p>
        </w:tc>
        <w:tc>
          <w:tcPr/>
          <w:p>
            <w:pPr>
              <w:pStyle w:val="Compact"/>
            </w:pPr>
          </w:p>
        </w:tc>
      </w:tr>
    </w:tbl>
    <w:bookmarkEnd w:id="22"/>
    <w:bookmarkStart w:id="23"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p>
      <w:pPr>
        <w:pStyle w:val="BodyText"/>
      </w:pPr>
      <w:r>
        <w:t xml:space="preserve">In the post-hoc neighbourhood-weight sensitivity, the mean strict FoM changed</w:t>
      </w:r>
      <w:r>
        <w:t xml:space="preserve"> </w:t>
      </w:r>
      <w:r>
        <w:t xml:space="preserve">from 0.19997 to 0.20042 across weights 0–0.7 in 2023 and from 0.26079 to</w:t>
      </w:r>
      <w:r>
        <w:t xml:space="preserve"> </w:t>
      </w:r>
      <w:r>
        <w:t xml:space="preserve">0.26034 in 2024. These changes are small relative to the model contrasts and</w:t>
      </w:r>
      <w:r>
        <w:t xml:space="preserve"> </w:t>
      </w:r>
      <w:r>
        <w:t xml:space="preserve">are not interpreted causally. Objective-set sensitivity on the planning rasters</w:t>
      </w:r>
      <w:r>
        <w:t xml:space="preserve"> </w:t>
      </w:r>
      <w:r>
        <w:t xml:space="preserve">retained the FLUS-style and Kernel candidates in all scenarios. GeoFM-LDN was</w:t>
      </w:r>
      <w:r>
        <w:t xml:space="preserve"> </w:t>
      </w:r>
      <w:r>
        <w:t xml:space="preserve">additionally non-dominated only for ecological-priority growth in the variants</w:t>
      </w:r>
      <w:r>
        <w:t xml:space="preserve"> </w:t>
      </w:r>
      <w:r>
        <w:t xml:space="preserve">that retained ecological conversion.</w:t>
      </w:r>
    </w:p>
    <w:bookmarkEnd w:id="23"/>
    <w:bookmarkStart w:id="24"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4"/>
    <w:bookmarkEnd w:id="25"/>
    <w:bookmarkStart w:id="26"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high-confidence subset shows near-zero skill for all models in 2023 and at most 0.0188 FoM in 2024, so full-grid rankings should not be interpreted as validated urban-change skill.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unmatched, untraceable Apple-Silicon binary, and the matched-input</w:t>
      </w:r>
      <w:r>
        <w:t xml:space="preserve"> </w:t>
      </w:r>
      <w:r>
        <w:t xml:space="preserve">attempt failed before producing a valid surface. These public-data stress tests</w:t>
      </w:r>
      <w:r>
        <w:t xml:space="preserve"> </w:t>
      </w:r>
      <w:r>
        <w:t xml:space="preserve">therefore do not establish causal planning effects or a validated Abu Dhabi</w:t>
      </w:r>
      <w:r>
        <w:t xml:space="preserve"> </w:t>
      </w:r>
      <w:r>
        <w:t xml:space="preserve">forecast. An authoritative deployment would replace public labels and masks with</w:t>
      </w:r>
      <w:r>
        <w:t xml:space="preserve"> </w:t>
      </w:r>
      <w:r>
        <w:t xml:space="preserve">locally approved land-use, infrastructure, ecological and development-demand</w:t>
      </w:r>
      <w:r>
        <w:t xml:space="preserve"> </w:t>
      </w:r>
      <w:r>
        <w:t xml:space="preserve">records while retaining the same execution contract.</w:t>
      </w:r>
    </w:p>
    <w:bookmarkEnd w:id="26"/>
    <w:bookmarkStart w:id="27"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output_audit_reproducible.json</w:t>
      </w:r>
      <w:r>
        <w:t xml:space="preserve"> </w:t>
      </w:r>
      <w:r>
        <w:t xml:space="preserve">for the current raster audit, with</w:t>
      </w:r>
      <w:r>
        <w:t xml:space="preserve"> </w:t>
      </w:r>
      <w:r>
        <w:rPr>
          <w:rStyle w:val="VerbatimChar"/>
        </w:rPr>
        <w:t xml:space="preserve">output_audit.json</w:t>
      </w:r>
      <w:r>
        <w:t xml:space="preserve"> </w:t>
      </w:r>
      <w:r>
        <w:t xml:space="preserve">retained only as legacy lineage;</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Kernel reruns on other platforms can differ by about 1% of pixels and approximately 0.001 FoM. No private database address, credential or client-only service is included. Authoritative Abu Dhabi land-use and independent change-validation data remain outside this study.</w:t>
      </w:r>
    </w:p>
    <w:bookmarkEnd w:id="27"/>
    <w:bookmarkStart w:id="28"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The vendored FLUS executable is a macOS arm64 binary; Linux and Windows users</w:t>
      </w:r>
      <w:r>
        <w:t xml:space="preserve"> </w:t>
      </w:r>
      <w:r>
        <w:t xml:space="preserve">can reproduce the Kernel and GeoFM-LDN tracks, but must provide a compatible</w:t>
      </w:r>
      <w:r>
        <w:t xml:space="preserve"> </w:t>
      </w:r>
      <w:r>
        <w:t xml:space="preserve">FLUS build or treat that baseline as unavailable. The repository is intended to</w:t>
      </w:r>
      <w:r>
        <w:t xml:space="preserve"> </w:t>
      </w:r>
      <w:r>
        <w:t xml:space="preserve">be public; an archival DOI and the corresponding-author e-mail should be added</w:t>
      </w:r>
      <w:r>
        <w:t xml:space="preserve"> </w:t>
      </w:r>
      <w:r>
        <w:t xml:space="preserve">to the submission metadata.</w:t>
      </w:r>
    </w:p>
    <w:bookmarkEnd w:id="28"/>
    <w:bookmarkStart w:id="29"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29"/>
    <w:bookmarkStart w:id="30"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0"/>
    <w:bookmarkStart w:id="46" w:name="figure-legends"/>
    <w:p>
      <w:pPr>
        <w:pStyle w:val="Heading2"/>
      </w:pPr>
      <w:r>
        <w:t xml:space="preserve">Figure legends</w:t>
      </w:r>
    </w:p>
    <w:p>
      <w:pPr>
        <w:pStyle w:val="CaptionedFigure"/>
      </w:pPr>
      <w:r>
        <w:drawing>
          <wp:inline>
            <wp:extent cx="5334000" cy="3481042"/>
            <wp:effectExtent b="0" l="0" r="0" t="0"/>
            <wp:docPr descr="Figure 1: benchmark and execution contract" title="" id="32" name="Picture"/>
            <a:graphic>
              <a:graphicData uri="http://schemas.openxmlformats.org/drawingml/2006/picture">
                <pic:pic>
                  <pic:nvPicPr>
                    <pic:cNvPr descr="figures/fig01_benchmark_contract.png" id="33" name="Picture"/>
                    <pic:cNvPicPr>
                      <a:picLocks noChangeArrowheads="1" noChangeAspect="1"/>
                    </pic:cNvPicPr>
                  </pic:nvPicPr>
                  <pic:blipFill>
                    <a:blip r:embed="rId31"/>
                    <a:stretch>
                      <a:fillRect/>
                    </a:stretch>
                  </pic:blipFill>
                  <pic:spPr bwMode="auto">
                    <a:xfrm>
                      <a:off x="0" y="0"/>
                      <a:ext cx="5334000" cy="3481042"/>
                    </a:xfrm>
                    <a:prstGeom prst="rect">
                      <a:avLst/>
                    </a:prstGeom>
                    <a:noFill/>
                    <a:ln w="9525">
                      <a:noFill/>
                      <a:headEnd/>
                      <a:tailEnd/>
                    </a:ln>
                  </pic:spPr>
                </pic:pic>
              </a:graphicData>
            </a:graphic>
          </wp:inline>
        </w:drawing>
      </w:r>
    </w:p>
    <w:p>
      <w:pPr>
        <w:pStyle w:val="ImageCaption"/>
      </w:pPr>
      <w:r>
        <w:t xml:space="preserve">Figure 1: benchmark and execution contract</w:t>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CaptionedFigure"/>
      </w:pPr>
      <w:r>
        <w:drawing>
          <wp:inline>
            <wp:extent cx="5334000" cy="3538245"/>
            <wp:effectExtent b="0" l="0" r="0" t="0"/>
            <wp:docPr descr="Figure 2: historical allocation skill" title="" id="35" name="Picture"/>
            <a:graphic>
              <a:graphicData uri="http://schemas.openxmlformats.org/drawingml/2006/picture">
                <pic:pic>
                  <pic:nvPicPr>
                    <pic:cNvPr descr="figures/fig02_historical_validation.png" id="36" name="Picture"/>
                    <pic:cNvPicPr>
                      <a:picLocks noChangeArrowheads="1" noChangeAspect="1"/>
                    </pic:cNvPicPr>
                  </pic:nvPicPr>
                  <pic:blipFill>
                    <a:blip r:embed="rId34"/>
                    <a:stretch>
                      <a:fillRect/>
                    </a:stretch>
                  </pic:blipFill>
                  <pic:spPr bwMode="auto">
                    <a:xfrm>
                      <a:off x="0" y="0"/>
                      <a:ext cx="5334000" cy="3538245"/>
                    </a:xfrm>
                    <a:prstGeom prst="rect">
                      <a:avLst/>
                    </a:prstGeom>
                    <a:noFill/>
                    <a:ln w="9525">
                      <a:noFill/>
                      <a:headEnd/>
                      <a:tailEnd/>
                    </a:ln>
                  </pic:spPr>
                </pic:pic>
              </a:graphicData>
            </a:graphic>
          </wp:inline>
        </w:drawing>
      </w:r>
    </w:p>
    <w:p>
      <w:pPr>
        <w:pStyle w:val="ImageCaption"/>
      </w:pPr>
      <w:r>
        <w:t xml:space="preserve">Figure 2: historical allocation skill</w:t>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paired spatial-block intervals are reported in the machine-readable</w:t>
      </w:r>
      <w:r>
        <w:t xml:space="preserve"> </w:t>
      </w:r>
      <w:r>
        <w:t xml:space="preserve">comparison report.</w:t>
      </w:r>
    </w:p>
    <w:p>
      <w:pPr>
        <w:pStyle w:val="CaptionedFigure"/>
      </w:pPr>
      <w:r>
        <w:drawing>
          <wp:inline>
            <wp:extent cx="5334000" cy="3520971"/>
            <wp:effectExtent b="0" l="0" r="0" t="0"/>
            <wp:docPr descr="Figure 3: conditional planning objectives" title="" id="38" name="Picture"/>
            <a:graphic>
              <a:graphicData uri="http://schemas.openxmlformats.org/drawingml/2006/picture">
                <pic:pic>
                  <pic:nvPicPr>
                    <pic:cNvPr descr="figures/fig03_planning_objectives.png" id="39" name="Picture"/>
                    <pic:cNvPicPr>
                      <a:picLocks noChangeArrowheads="1" noChangeAspect="1"/>
                    </pic:cNvPicPr>
                  </pic:nvPicPr>
                  <pic:blipFill>
                    <a:blip r:embed="rId37"/>
                    <a:stretch>
                      <a:fillRect/>
                    </a:stretch>
                  </pic:blipFill>
                  <pic:spPr bwMode="auto">
                    <a:xfrm>
                      <a:off x="0" y="0"/>
                      <a:ext cx="5334000" cy="3520971"/>
                    </a:xfrm>
                    <a:prstGeom prst="rect">
                      <a:avLst/>
                    </a:prstGeom>
                    <a:noFill/>
                    <a:ln w="9525">
                      <a:noFill/>
                      <a:headEnd/>
                      <a:tailEnd/>
                    </a:ln>
                  </pic:spPr>
                </pic:pic>
              </a:graphicData>
            </a:graphic>
          </wp:inline>
        </w:drawing>
      </w:r>
    </w:p>
    <w:p>
      <w:pPr>
        <w:pStyle w:val="ImageCaption"/>
      </w:pPr>
      <w:r>
        <w:t xml:space="preserve">Figure 3: conditional planning objectives</w:t>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A–D show the release objectives:</w:t>
      </w:r>
      <w:r>
        <w:t xml:space="preserve"> </w:t>
      </w:r>
      <w:r>
        <w:t xml:space="preserve">distance to major roads, distance to prior built cells, new-built components per</w:t>
      </w:r>
      <w:r>
        <w:t xml:space="preserve"> </w:t>
      </w:r>
      <w:r>
        <w:t xml:space="preserve">1,000 valid cells and ecological conversion. Panel E shows vegetation gain as a</w:t>
      </w:r>
      <w:r>
        <w:t xml:space="preserve"> </w:t>
      </w:r>
      <w:r>
        <w:t xml:space="preserve">descriptive scenario-input diagnostic; panel F shows the 500-m leapfrog rate. Stars mark</w:t>
      </w:r>
      <w:r>
        <w:t xml:space="preserve"> </w:t>
      </w:r>
      <w:r>
        <w:t xml:space="preserve">non-dominated candidates within each scenario; bars show means ± population SD</w:t>
      </w:r>
      <w:r>
        <w:t xml:space="preserve"> </w:t>
      </w:r>
      <w:r>
        <w:t xml:space="preserve">across three seeds.</w:t>
      </w:r>
    </w:p>
    <w:p>
      <w:pPr>
        <w:pStyle w:val="CaptionedFigure"/>
      </w:pPr>
      <w:r>
        <w:drawing>
          <wp:inline>
            <wp:extent cx="5334000" cy="3704556"/>
            <wp:effectExtent b="0" l="0" r="0" t="0"/>
            <wp:docPr descr="Figure 4: mechanism controls" title="" id="41" name="Picture"/>
            <a:graphic>
              <a:graphicData uri="http://schemas.openxmlformats.org/drawingml/2006/picture">
                <pic:pic>
                  <pic:nvPicPr>
                    <pic:cNvPr descr="figures/fig04_mechanism_ablation.png" id="42" name="Picture"/>
                    <pic:cNvPicPr>
                      <a:picLocks noChangeArrowheads="1" noChangeAspect="1"/>
                    </pic:cNvPicPr>
                  </pic:nvPicPr>
                  <pic:blipFill>
                    <a:blip r:embed="rId40"/>
                    <a:stretch>
                      <a:fillRect/>
                    </a:stretch>
                  </pic:blipFill>
                  <pic:spPr bwMode="auto">
                    <a:xfrm>
                      <a:off x="0" y="0"/>
                      <a:ext cx="5334000" cy="3704556"/>
                    </a:xfrm>
                    <a:prstGeom prst="rect">
                      <a:avLst/>
                    </a:prstGeom>
                    <a:noFill/>
                    <a:ln w="9525">
                      <a:noFill/>
                      <a:headEnd/>
                      <a:tailEnd/>
                    </a:ln>
                  </pic:spPr>
                </pic:pic>
              </a:graphicData>
            </a:graphic>
          </wp:inline>
        </w:drawing>
      </w:r>
    </w:p>
    <w:p>
      <w:pPr>
        <w:pStyle w:val="ImageCaption"/>
      </w:pPr>
      <w:r>
        <w:t xml:space="preserve">Figure 4: mechanism controls</w:t>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CaptionedFigure"/>
      </w:pPr>
      <w:r>
        <w:drawing>
          <wp:inline>
            <wp:extent cx="5334000" cy="5443359"/>
            <wp:effectExtent b="0" l="0" r="0" t="0"/>
            <wp:docPr descr="Figure 5: 2031 spatial footprints" title="" id="44" name="Picture"/>
            <a:graphic>
              <a:graphicData uri="http://schemas.openxmlformats.org/drawingml/2006/picture">
                <pic:pic>
                  <pic:nvPicPr>
                    <pic:cNvPr descr="figures/fig05_planning_maps_2031.png" id="45" name="Picture"/>
                    <pic:cNvPicPr>
                      <a:picLocks noChangeArrowheads="1" noChangeAspect="1"/>
                    </pic:cNvPicPr>
                  </pic:nvPicPr>
                  <pic:blipFill>
                    <a:blip r:embed="rId43"/>
                    <a:stretch>
                      <a:fillRect/>
                    </a:stretch>
                  </pic:blipFill>
                  <pic:spPr bwMode="auto">
                    <a:xfrm>
                      <a:off x="0" y="0"/>
                      <a:ext cx="5334000" cy="5443359"/>
                    </a:xfrm>
                    <a:prstGeom prst="rect">
                      <a:avLst/>
                    </a:prstGeom>
                    <a:noFill/>
                    <a:ln w="9525">
                      <a:noFill/>
                      <a:headEnd/>
                      <a:tailEnd/>
                    </a:ln>
                  </pic:spPr>
                </pic:pic>
              </a:graphicData>
            </a:graphic>
          </wp:inline>
        </w:drawing>
      </w:r>
    </w:p>
    <w:p>
      <w:pPr>
        <w:pStyle w:val="ImageCaption"/>
      </w:pPr>
      <w:r>
        <w:t xml:space="preserve">Figure 5: 2031 spatial footprints</w:t>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6"/>
    <w:bookmarkStart w:id="47"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2026-09-05T14:49:57Z</dcterms:created>
  <dcterms:modified xsi:type="dcterms:W3CDTF">2026-09-05T14:49:57Z</dcterms:modified>
</cp:coreProperties>
</file>

<file path=docProps/custom.xml><?xml version="1.0" encoding="utf-8"?>
<Properties xmlns="http://schemas.openxmlformats.org/officeDocument/2006/custom-properties" xmlns:vt="http://schemas.openxmlformats.org/officeDocument/2006/docPropsVTypes"/>
</file>