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29.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2"/>
      </w:pPr>
      <w:r>
        <w:t xml:space="preserve">Abstract</w:t>
      </w:r>
    </w:p>
    <w:p>
      <w:pPr>
        <w:pStyle w:val="FirstParagraph"/>
      </w:pPr>
      <w:r>
        <w:t xml:space="preserve">Urban land-change models are often evaluated against annual labels whose reliability is not spatially uniform. We present an auditable protocol for testing constrained spatial allocation under that uncertainty, using Geospatial Kernel, the algorithmic core of a Geospatial World Model, as the focal execution layer. The Abu Dhabi public-data benchmark uses annual 100-m land-cover products from 2017–2024, three computational seeds, destination-correct multi-class change Figure of Merit (FoM), spatial-block bootstrap contrasts and explicit state–action–constraint traces. In a clean run of the fully resolved environment, strict FoM was 0.1961 for Geospatial Kernel, 0.1256 for the GeoSOS-derived FLUS-style ANN–CA console (author-modified build) and 0.1619 for GeoFM-LDN in 2023; after recursive two-step rollout in 2024 the values were 0.2529, 0.1782 and 0.2708, respectively. A dual-year confidence threshold retained only 25 of 4,500 observed changes in 2023 and 56 of 8,464 in 2024; all three FoM values were 0.000 in 2023 and the 2024 maximum was 0.0188. These filtered scores are label-quality and selection-effect diagnostics, not model-skill tests. The planning track is therefore reported as scenario stress testing, not official forecasting. The released public bundle, source, checkpoints, rasters, vector footprints and audit manifests support locked-environment reproduction; cross-stack variation is quantified rather than assumed absent. The protocol’s principal contribution is an inspectable proposal–projection–writeback boundary for separating model behaviour from action and constraint semantics.</w:t>
      </w:r>
    </w:p>
    <w:bookmarkEnd w:id="9"/>
    <w:bookmarkStart w:id="10" w:name="highlights"/>
    <w:p>
      <w:pPr>
        <w:pStyle w:val="Heading2"/>
      </w:pPr>
      <w:r>
        <w:t xml:space="preserve">Highlights</w:t>
      </w:r>
    </w:p>
    <w:p>
      <w:pPr>
        <w:pStyle w:val="Compact"/>
        <w:numPr>
          <w:ilvl w:val="0"/>
          <w:numId w:val="1001"/>
        </w:numPr>
      </w:pPr>
      <w:r>
        <w:t xml:space="preserve">Geospatial Kernel separates transition proposals from constrained admission.</w:t>
      </w:r>
    </w:p>
    <w:p>
      <w:pPr>
        <w:pStyle w:val="Compact"/>
        <w:numPr>
          <w:ilvl w:val="0"/>
          <w:numId w:val="1001"/>
        </w:numPr>
      </w:pPr>
      <w:r>
        <w:t xml:space="preserve">Typed state–action–constraint traces make recursive updates auditable.</w:t>
      </w:r>
    </w:p>
    <w:p>
      <w:pPr>
        <w:pStyle w:val="Compact"/>
        <w:numPr>
          <w:ilvl w:val="0"/>
          <w:numId w:val="1001"/>
        </w:numPr>
      </w:pPr>
      <w:r>
        <w:t xml:space="preserve">Spatial-block uncertainty and paired model contrasts are reported explicitly.</w:t>
      </w:r>
    </w:p>
    <w:p>
      <w:pPr>
        <w:pStyle w:val="Compact"/>
        <w:numPr>
          <w:ilvl w:val="0"/>
          <w:numId w:val="1001"/>
        </w:numPr>
      </w:pPr>
      <w:r>
        <w:t xml:space="preserve">Confidence filters expose label selection effects; they are not validation tests.</w:t>
      </w:r>
    </w:p>
    <w:p>
      <w:pPr>
        <w:pStyle w:val="Compact"/>
        <w:numPr>
          <w:ilvl w:val="0"/>
          <w:numId w:val="1001"/>
        </w:numPr>
      </w:pPr>
      <w:r>
        <w:t xml:space="preserve">Planning outputs are scenario stress tests, not statutory Abu Dhabi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common valid mask, annual class-count actions, hard exclusions and evaluator. The historical track uses observed target counts to isolate spatial allocation skill from demand error. The planning track starts from the observed 2024 state and applies three planner-supplied actions: moderate growth, green-priority growth and high outward growth. Abu Dhabi Plan 2030 provides an institutional planning context for discussing urban structure, but the numerical actions in this benchmark are not calibrated to that plan or to an official population forecast (Abu Dhabi Urban Planning Council, 2007). We ask four questions: whether the Kernel execution contract is auditable, whether its allocation skill is competitive, whether it produces feasible and spatially distinct allocations and which conclusions survive label and parameter sensitivity.</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reports confidence-filter retention and selection effects rather than treating a high-confidence subset as a skill-validation set.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observed sequence contains annual states for 2017–2024. Models were fit using the four transitions 2017→2018, 2018→2019, 2019→2020 and 2020→2021. A 2021→2022 transition was used for validation during model development. The historical test starts from 2022 and evaluates 2023 and 2024 in an open-loop rollout without observed-state writeback. The planning test starts from the observed 2024 state and recursively generates 2025–2031 under each scenario action.</w:t>
      </w:r>
    </w:p>
    <w:bookmarkEnd w:id="14"/>
    <w:bookmarkStart w:id="15" w:name="public-data-and-class-semantics"/>
    <w:p>
      <w:pPr>
        <w:pStyle w:val="Heading3"/>
      </w:pPr>
      <w:r>
        <w:t xml:space="preserve">Public data and class semantics</w:t>
      </w:r>
    </w:p>
    <w:p>
      <w:pPr>
        <w:pStyle w:val="FirstParagraph"/>
      </w:pPr>
      <w:r>
        <w:t xml:space="preserve">Dynamic World V1 provides annual scene-argmax labels and mean top-class probabilities (Brown et al., 2022). The nine Dynamic World labels were crosswalked to six canonical classes: water (source 0), woody vegetation (1), low vegetation (2, 4 and 5), wetland (3), built (6) and bare (7). Source class 8 was excluded. The resulting label is explicitly treated as land cover. No residential, commercial or industrial category is inferred from the raster labels.</w:t>
      </w:r>
    </w:p>
    <w:p>
      <w:pPr>
        <w:pStyle w:val="BodyText"/>
      </w:pPr>
      <w:r>
        <w:t xml:space="preserve">Annual 64-dimensional AlphaEarth embeddings were spatially averaged to the canonical grid and locally L2-normalized. Monthly VIIRS night-time-light radiance was averaged by year. Copernicus DEM supplied elevation and a finite-difference slope derivative. OpenStreetMap road geometries were rasterized into distance-to-road and distance-to-major-road surfaces. ESA WorldCover 2021 supplied public water and wetland/mangrove constraint proxies (Zanaga et al., 2022). All dynamic and static layers were checked for exact CRS, transform, width and height agreement.</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A histogram gradient-boosting classifier estimates the six-class probability vector.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confidence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where</w:t>
      </w:r>
      <w:r>
        <w:t xml:space="preserve"> </w:t>
      </w:r>
      <m:oMath>
        <m:r>
          <m:t>r</m:t>
        </m:r>
      </m:oMath>
      <w:r>
        <w:t xml:space="preserve"> </w:t>
      </w:r>
      <w:r>
        <w:t xml:space="preserve">is the Dynamic World mean top probability. The target years 2023 and 2024 are not used during fitting or model selection. Across the three seeds, each fitted model used 71,892–72,202 pixel rows and all six classes.</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geosimulation.cn);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47e65b3</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w:t>
      </w:r>
      <w:r>
        <w:t xml:space="preserve"> </w:t>
      </w:r>
      <w:r>
        <w:rPr>
          <w:rStyle w:val="VerbatimChar"/>
        </w:rPr>
        <w:t xml:space="preserve">planning_scenarios_public_2025_2031.json</w:t>
      </w:r>
      <w:r>
        <w:t xml:space="preserve"> </w:t>
      </w:r>
      <w:r>
        <w:t xml:space="preserve">manifest; the legacy</w:t>
      </w:r>
      <w:r>
        <w:t xml:space="preserve"> </w:t>
      </w:r>
      <w:r>
        <w:rPr>
          <w:rStyle w:val="VerbatimChar"/>
        </w:rPr>
        <w:t xml:space="preserve">compact</w:t>
      </w:r>
      <w:r>
        <w:t xml:space="preserve"> </w:t>
      </w:r>
      <w:r>
        <w:t xml:space="preserve">path identifier is retained only for artifact compatibility. Each action supplies feasible class totals for 2025–2031. The 2031 totals are an explicit extension of the previous annual difference and are not derived from an official population, housing or infrastructure forecast. Future exogenous rasters are held at their 2024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primary Pareto comparison is within each scenario, contrasting the three models under the same action; a global nine-candidate frontier is retained only as lineage. Sensitivity variants remove or add objective dimensions on the same released rasters. The objective set evolved through four review-driven revisions and was not preregistered: v1 mixed feasibility, action and outcome terms; v2 was not released; v3 used structurally problematic outcomes; and v4 still included scenario-supplied vegetation gain and all-built fragmentation. The current release is v6: road access, prior-built distance and union-built component density. Ecological conversion is reported as a diagnostic rather than a Pareto objective because it is structurally zero for the exact-count Kernel and GeoFM-LDN allocations. We treat v6 as a release objective set rather than a prespecified planning preference, and treat its sensitivity results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2024 raster are extracted as changed 100-m cells and dissolved into GeoPackage layers. The public delivery manifest covers 45 ensemble rasters for 2027–2031 and nine vector packages. The audit script reports</w:t>
      </w:r>
      <w:r>
        <w:t xml:space="preserve"> </w:t>
      </w:r>
      <w:r>
        <w:rPr>
          <w:rStyle w:val="VerbatimChar"/>
        </w:rPr>
        <w:t xml:space="preserve">INCOMPLETE_INPUTS</w:t>
      </w:r>
      <w:r>
        <w:t xml:space="preserve"> </w:t>
      </w:r>
      <w:r>
        <w:t xml:space="preserve">or</w:t>
      </w:r>
      <w:r>
        <w:t xml:space="preserve"> </w:t>
      </w:r>
      <w:r>
        <w:rPr>
          <w:rStyle w:val="VerbatimChar"/>
        </w:rPr>
        <w:t xml:space="preserve">FAIL</w:t>
      </w:r>
      <w:r>
        <w:t xml:space="preserve"> </w:t>
      </w:r>
      <w:r>
        <w:t xml:space="preserve">when source rasters, reports or vectors are absent; with the released public bundle, the input audit passed all alignment gates (with a Dynamic World label-noise warning) and the output audit passed 276 historical and planning predictions with zero failures. The vector layers preserve raster-cell geometry and should not be interpreted as cadastral parcels.</w:t>
      </w:r>
    </w:p>
    <w:bookmarkEnd w:id="20"/>
    <w:bookmarkEnd w:id="21"/>
    <w:bookmarkStart w:id="42"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After the common coverage and alignment checks, 79,726 cells were used for scoring. Each cell represents 1 ha. Annual Dynamic World observations from 2017 to 2024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pPr>
      <w:r>
        <w:t xml:space="preserve">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32" w:name="historical-and-planning-results"/>
    <w:p>
      <w:pPr>
        <w:pStyle w:val="Heading3"/>
      </w:pPr>
      <w:r>
        <w:t xml:space="preserve">Historical and planning results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pPr>
      <w:r>
        <w:drawing>
          <wp:inline>
            <wp:extent cx="5334000" cy="2382816"/>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382816"/>
                    </a:xfrm>
                    <a:prstGeom prst="rect">
                      <a:avLst/>
                    </a:prstGeom>
                    <a:noFill/>
                    <a:ln w="9525">
                      <a:noFill/>
                      <a:headEnd/>
                      <a:tailEnd/>
                    </a:ln>
                  </pic:spPr>
                </pic:pic>
              </a:graphicData>
            </a:graphic>
          </wp:inline>
        </w:drawing>
      </w:r>
    </w:p>
    <w:p>
      <w:pPr>
        <w:pStyle w:val="ImageCaption"/>
      </w:pPr>
      <w:r>
        <w:t xml:space="preserve">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confidence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mean top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confidence of the year immediately preceding the</w:t>
      </w:r>
      <w:r>
        <w:t xml:space="preserve"> </w:t>
      </w:r>
      <w:r>
        <w:t xml:space="preserve">target avoids filtering on target-year confidence,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3.</w:t>
      </w:r>
    </w:p>
    <w:p>
      <w:pPr>
        <w:pStyle w:val="CaptionedFigure"/>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0" name="Picture"/>
            <a:graphic>
              <a:graphicData uri="http://schemas.openxmlformats.org/drawingml/2006/picture">
                <pic:pic>
                  <pic:nvPicPr>
                    <pic:cNvPr descr="figures/fig03_planning_objectives.png" id="31" name="Picture"/>
                    <pic:cNvPicPr>
                      <a:picLocks noChangeArrowheads="1" noChangeAspect="1"/>
                    </pic:cNvPicPr>
                  </pic:nvPicPr>
                  <pic:blipFill>
                    <a:blip r:embed="rId29"/>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pPr>
      <w:r>
        <w:t xml:space="preserve">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32"/>
    <w:bookmarkStart w:id="33"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Figure 4A shows focused proposal controls, and Fig. 4B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33"/>
    <w:bookmarkStart w:id="37"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pPr>
      <w:r>
        <w:drawing>
          <wp:inline>
            <wp:extent cx="5334000" cy="2451478"/>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se are execution diagnostics, not causal policy experiments." title="" id="35" name="Picture"/>
            <a:graphic>
              <a:graphicData uri="http://schemas.openxmlformats.org/drawingml/2006/picture">
                <pic:pic>
                  <pic:nvPicPr>
                    <pic:cNvPr descr="figures/fig04_mechanism_ablation.png" id="36" name="Picture"/>
                    <pic:cNvPicPr>
                      <a:picLocks noChangeArrowheads="1" noChangeAspect="1"/>
                    </pic:cNvPicPr>
                  </pic:nvPicPr>
                  <pic:blipFill>
                    <a:blip r:embed="rId34"/>
                    <a:stretch>
                      <a:fillRect/>
                    </a:stretch>
                  </pic:blipFill>
                  <pic:spPr bwMode="auto">
                    <a:xfrm>
                      <a:off x="0" y="0"/>
                      <a:ext cx="5334000" cy="2451478"/>
                    </a:xfrm>
                    <a:prstGeom prst="rect">
                      <a:avLst/>
                    </a:prstGeom>
                    <a:noFill/>
                    <a:ln w="9525">
                      <a:noFill/>
                      <a:headEnd/>
                      <a:tailEnd/>
                    </a:ln>
                  </pic:spPr>
                </pic:pic>
              </a:graphicData>
            </a:graphic>
          </wp:inline>
        </w:drawing>
      </w:r>
    </w:p>
    <w:p>
      <w:pPr>
        <w:pStyle w:val="ImageCaption"/>
      </w:pPr>
      <w:r>
        <w:t xml:space="preserve">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These are execution diagnostics, not causal policy experiments.</w:t>
      </w:r>
    </w:p>
    <w:bookmarkEnd w:id="37"/>
    <w:bookmarkStart w:id="41"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Seed-level projections</w:t>
      </w:r>
      <w:r>
        <w:t xml:space="preserve"> </w:t>
      </w:r>
      <w:r>
        <w:t xml:space="preserve">meet their feasible class totals, but majority voting can produce a different</w:t>
      </w:r>
      <w:r>
        <w:t xml:space="preserve"> </w:t>
      </w:r>
      <w:r>
        <w:t xml:space="preserve">raster and therefore a non-zero ensemble error. All 276 historical and planning</w:t>
      </w:r>
      <w:r>
        <w:t xml:space="preserve"> </w:t>
      </w:r>
      <w:r>
        <w:t xml:space="preserve">prediction records passed the raster audit. Figure 5 uses the high-outward</w:t>
      </w:r>
      <w:r>
        <w:t xml:space="preserve"> </w:t>
      </w:r>
      <w:r>
        <w:t xml:space="preserve">scenario to make the spatial contrast legible; the complete nine-panel atlas is</w:t>
      </w:r>
      <w:r>
        <w:t xml:space="preserve"> </w:t>
      </w:r>
      <w:r>
        <w:t xml:space="preserve">provided as Supplementary Fig. S1. These are raster-cell change footprints, not</w:t>
      </w:r>
      <w:r>
        <w:t xml:space="preserve"> </w:t>
      </w:r>
      <w:r>
        <w:t xml:space="preserve">parcel boundaries or statutory zoning maps.</w:t>
      </w:r>
    </w:p>
    <w:p>
      <w:pPr>
        <w:pStyle w:val="CaptionedFigure"/>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39" name="Picture"/>
            <a:graphic>
              <a:graphicData uri="http://schemas.openxmlformats.org/drawingml/2006/picture">
                <pic:pic>
                  <pic:nvPicPr>
                    <pic:cNvPr descr="figures/fig05_planning_maps_2031.png" id="40" name="Picture"/>
                    <pic:cNvPicPr>
                      <a:picLocks noChangeArrowheads="1" noChangeAspect="1"/>
                    </pic:cNvPicPr>
                  </pic:nvPicPr>
                  <pic:blipFill>
                    <a:blip r:embed="rId38"/>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pPr>
      <w:r>
        <w:t xml:space="preserve">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1"/>
    <w:bookmarkEnd w:id="42"/>
    <w:bookmarkStart w:id="43"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noisy annual labels. The defensible contribution is that a transition proposal and a planning admission rule can be represented and inspected separately. Under the unmatched public-data pipeline, Geospatial Kernel has the largest strict transition FoM at the one-step horizon, while GeoFM-LDN has the largest value after recursive two-step rollout. The dual-year confidence filter retains only 0.56% and 0.66% of observed changes in 2023 and 2024, respectively; the preceding-year-only variant retains 2.87% and 1.10%. These subsets are not skill tests; full-grid rankings remain unvalidated because no independent change product is yet available. We therefore treat the planning frontier as conditional on public proxy objectives and synthetic actions.</w:t>
      </w:r>
    </w:p>
    <w:p>
      <w:pPr>
        <w:pStyle w:val="BodyText"/>
      </w:pPr>
      <w:r>
        <w:t xml:space="preserve">The evidence remains bounded. The six classes are remote-sensing land cover, not</w:t>
      </w:r>
      <w:r>
        <w:t xml:space="preserve"> </w:t>
      </w:r>
      <w:r>
        <w:t xml:space="preserve">statutory residential, commercial or industrial land use. Dynamic World labels</w:t>
      </w:r>
      <w:r>
        <w:t xml:space="preserve"> </w:t>
      </w:r>
      <w:r>
        <w:t xml:space="preserve">show substantial annual uncertainty and apparent turnover; no independent</w:t>
      </w:r>
      <w:r>
        <w:t xml:space="preserve"> </w:t>
      </w:r>
      <w:r>
        <w:t xml:space="preserve">2023–2024 change product or observed 2025–2031 labels was available. Public</w:t>
      </w:r>
      <w:r>
        <w:t xml:space="preserve"> </w:t>
      </w:r>
      <w:r>
        <w:t xml:space="preserve">roads, wetland and protected-area layers are proxies, future drivers are held at</w:t>
      </w:r>
      <w:r>
        <w:t xml:space="preserve"> </w:t>
      </w:r>
      <w:r>
        <w:t xml:space="preserve">2024, and the 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End w:id="43"/>
    <w:bookmarkStart w:id="44"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in the accompanying repository.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t xml:space="preserve">the data-audit, protocol and source-input manifests for data provenance;</w:t>
      </w:r>
    </w:p>
    <w:p>
      <w:pPr>
        <w:pStyle w:val="Compact"/>
        <w:numPr>
          <w:ilvl w:val="0"/>
          <w:numId w:val="1002"/>
        </w:numPr>
      </w:pPr>
      <w:r>
        <w:t xml:space="preserve">The released bundle includes the aligned 2017–2024 public rasters, historical seed and ensemble prediction rasters, 2025–2031 planning seed and ensemble rasters, nine GeoPackages of dissolved change footprints, the mechanism-ablation report,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archived arm64 Linux rerun of the six historical Kernel rasters differed from the macOS reference by 498–1,147 cells (0.62%–1.44%), with strict-FoM deltas from -0.0023 to +0.0010; these cross-stack differences are quantified rather than treated as categorical identity. An author-controlled GitHub Actions Ubuntu x86_64 rerun of all six rasters under the resolved lock had zero categorical differences; the repository-stored CI audit is in</w:t>
      </w:r>
      <w:r>
        <w:t xml:space="preserve"> </w:t>
      </w:r>
      <w:r>
        <w:rPr>
          <w:rStyle w:val="VerbatimChar"/>
        </w:rPr>
        <w:t xml:space="preserve">artifacts/cross_platform</w:t>
      </w:r>
      <w:r>
        <w:t xml:space="preserve"> </w:t>
      </w:r>
      <w:r>
        <w:t xml:space="preserve">at commit</w:t>
      </w:r>
      <w:r>
        <w:t xml:space="preserve"> </w:t>
      </w:r>
      <w:r>
        <w:rPr>
          <w:rStyle w:val="VerbatimChar"/>
        </w:rPr>
        <w:t xml:space="preserve">e06a997</w:t>
      </w:r>
      <w:r>
        <w:t xml:space="preserve">, and the workflow is versioned under</w:t>
      </w:r>
      <w:r>
        <w:t xml:space="preserve"> </w:t>
      </w:r>
      <w:r>
        <w:rPr>
          <w:rStyle w:val="VerbatimChar"/>
        </w:rPr>
        <w:t xml:space="preserve">.github/workflows/</w:t>
      </w:r>
      <w:r>
        <w:t xml:space="preserve">. Independent external Windows evidence remains separately labelled for FLUS because the corresponding rasters are not archived locally. No private database address, credential or client-only service is included. Authoritative Abu Dhabi land-use and independent change-validation data remain outside this study.</w:t>
      </w:r>
    </w:p>
    <w:bookmarkEnd w:id="44"/>
    <w:bookmarkStart w:id="45"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t xml:space="preserve">the vendored</w:t>
      </w:r>
      <w:r>
        <w:t xml:space="preserve"> </w:t>
      </w:r>
      <w:r>
        <w:rPr>
          <w:rStyle w:val="VerbatimChar"/>
        </w:rPr>
        <w:t xml:space="preserve">geospatial_kernel/runtime.py</w:t>
      </w:r>
      <w:r>
        <w:t xml:space="preserve"> </w:t>
      </w:r>
      <w:r>
        <w:t xml:space="preserve">snapshot;</w:t>
      </w:r>
    </w:p>
    <w:p>
      <w:pPr>
        <w:pStyle w:val="Compact"/>
        <w:numPr>
          <w:ilvl w:val="0"/>
          <w:numId w:val="1003"/>
        </w:numPr>
      </w:pPr>
      <w:r>
        <w:rPr>
          <w:rStyle w:val="VerbatimChar"/>
        </w:rPr>
        <w:t xml:space="preserve">render_nature_figures.py</w:t>
      </w:r>
      <w:r>
        <w:t xml:space="preserve"> </w:t>
      </w:r>
      <w:r>
        <w:t xml:space="preserve">for publication artwork.</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in the benchmark</w:t>
      </w:r>
      <w:r>
        <w:t xml:space="preserve"> </w:t>
      </w:r>
      <w:r>
        <w:t xml:space="preserve">external and prediction-artifact directories.</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t xml:space="preserve">the public FLUS source repository,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Independent external</w:t>
      </w:r>
      <w:r>
        <w:t xml:space="preserve"> </w:t>
      </w:r>
      <w:r>
        <w:t xml:space="preserve">Windows FLUS verification, including the seven-driver cross-platform difference</w:t>
      </w:r>
      <w:r>
        <w:t xml:space="preserve"> </w:t>
      </w:r>
      <w:r>
        <w:t xml:space="preserve">and the 25-feature zero-change outcome, is documented with its provenance</w:t>
      </w:r>
      <w:r>
        <w:t xml:space="preserve"> </w:t>
      </w:r>
      <w:r>
        <w:t xml:space="preserve">limitation in Supplementary Table S3. Windows execution requires the benchmark</w:t>
      </w:r>
      <w:r>
        <w:t xml:space="preserve"> </w:t>
      </w:r>
      <w:r>
        <w:t xml:space="preserve">and working directories to use pure ASCII paths; saving configuration files as</w:t>
      </w:r>
      <w:r>
        <w:t xml:space="preserve"> </w:t>
      </w:r>
      <w:r>
        <w:t xml:space="preserve">UTF-8 alone 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an archival DOI should be added after a persistent</w:t>
      </w:r>
      <w:r>
        <w:t xml:space="preserve"> </w:t>
      </w:r>
      <w:r>
        <w:t xml:space="preserve">public release is created.</w:t>
      </w:r>
    </w:p>
    <w:bookmarkEnd w:id="45"/>
    <w:bookmarkStart w:id="46"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The author thanks the anonymous reviewers for independent technical verification and constructive methodological comments.</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46"/>
    <w:bookmarkStart w:id="47"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et al.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Gorelick, N., et al.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et al. (2021). A patch-generating land use simulation model integrating multisource data for urban growth simulation.</w:t>
      </w:r>
      <w:r>
        <w:t xml:space="preserve"> </w:t>
      </w:r>
      <w:r>
        <w:rPr>
          <w:i/>
          <w:iCs/>
        </w:rPr>
        <w:t xml:space="preserve">Landscape and Urban Planning</w:t>
      </w:r>
      <w:r>
        <w:t xml:space="preserve">, 214, 104157. https://doi.org/10.1016/j.landurbplan.2021.104157</w:t>
      </w:r>
    </w:p>
    <w:p>
      <w:pPr>
        <w:pStyle w:val="BodyText"/>
      </w:pPr>
      <w:r>
        <w:t xml:space="preserve">Liu, X., et al.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OpenStreetMap contributors. (2026). OpenStreetMap data, Abu Dhabi relation R4479763 and Geofabrik GCC extract, accessed 31 July 2026. https://www.openstreetmap.org</w:t>
      </w:r>
    </w:p>
    <w:p>
      <w:pPr>
        <w:pStyle w:val="BodyText"/>
      </w:pPr>
      <w:r>
        <w:t xml:space="preserve">Pontius, R. G., Jr., Boersma, W., Castella, J.-C., et al. (2008). Comparing the input, output, and validation maps for several models of land change.</w:t>
      </w:r>
      <w:r>
        <w:t xml:space="preserve"> </w:t>
      </w:r>
      <w:r>
        <w:rPr>
          <w:i/>
          <w:iCs/>
        </w:rPr>
        <w:t xml:space="preserve">The Annals of Regional Science</w:t>
      </w:r>
      <w:r>
        <w:t xml:space="preserve">, 42, 11–37. DOI: 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DOI: 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https://doi.org/10.1016/S0198-9715(01)00017-8</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Rietveld, P., &amp; Verburg, P. H. (2011). Modeling land-use change with cellular automata: Issues and recommendations.</w:t>
      </w:r>
      <w:r>
        <w:t xml:space="preserve"> </w:t>
      </w:r>
      <w:r>
        <w:rPr>
          <w:i/>
          <w:iCs/>
        </w:rPr>
        <w:t xml:space="preserve">Journal of Land Use Science</w:t>
      </w:r>
      <w:r>
        <w:t xml:space="preserve">, 6, 247–265. https://doi.org/10.1080/1747423X.2011.562018</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et al. (2002). Modeling the spatial dynamics of regional land use: the CLUE-S model.</w:t>
      </w:r>
      <w:r>
        <w:t xml:space="preserve"> </w:t>
      </w:r>
      <w:r>
        <w:rPr>
          <w:i/>
          <w:iCs/>
        </w:rPr>
        <w:t xml:space="preserve">Environmental Management</w:t>
      </w:r>
      <w:r>
        <w:t xml:space="preserve">, 30, 391–405. https://doi.org/10.1007/s00267-002-2631-x</w:t>
      </w:r>
    </w:p>
    <w:p>
      <w:pPr>
        <w:pStyle w:val="BodyText"/>
      </w:pPr>
      <w:r>
        <w:t xml:space="preserve">Zanaga, D., et al. (2022). ESA WorldCover 10 m 2021 v200. Zenodo. https://doi.org/10.5281/zenodo.7254221</w:t>
      </w:r>
    </w:p>
    <w:bookmarkEnd w:id="47"/>
    <w:bookmarkStart w:id="48"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S4:</w:t>
      </w:r>
      <w:r>
        <w:t xml:space="preserve"> </w:t>
      </w:r>
      <w:r>
        <w:t xml:space="preserve">Raster and vector delivery audit, hashes and layer counts.</w:t>
      </w:r>
    </w:p>
    <w:p>
      <w:pPr>
        <w:pStyle w:val="Compact"/>
        <w:numPr>
          <w:ilvl w:val="0"/>
          <w:numId w:val="1004"/>
        </w:numPr>
      </w:pPr>
      <w:r>
        <w:rPr>
          <w:b/>
          <w:bCs/>
        </w:rPr>
        <w:t xml:space="preserve">Supplementary Figure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4"/>
        </w:numPr>
      </w:pPr>
      <w:r>
        <w:rPr>
          <w:b/>
          <w:bCs/>
        </w:rPr>
        <w:t xml:space="preserve">Supplementary Figure S2:</w:t>
      </w:r>
      <w:r>
        <w:t xml:space="preserve"> </w:t>
      </w:r>
      <w:r>
        <w:t xml:space="preserve">Dynamic World confidence and high-confidence change sensitivity.</w:t>
      </w:r>
    </w:p>
    <w:p>
      <w:pPr>
        <w:pStyle w:val="Compact"/>
        <w:numPr>
          <w:ilvl w:val="0"/>
          <w:numId w:val="1004"/>
        </w:numPr>
      </w:pPr>
      <w:r>
        <w:rPr>
          <w:b/>
          <w:bCs/>
        </w:rPr>
        <w:t xml:space="preserve">Supplementary Figure S3:</w:t>
      </w:r>
      <w:r>
        <w:t xml:space="preserve"> </w:t>
      </w:r>
      <w:r>
        <w:t xml:space="preserve">Historical maps and change-error maps for 2024.</w:t>
      </w:r>
    </w:p>
    <w:p>
      <w:pPr>
        <w:pStyle w:val="Compact"/>
        <w:numPr>
          <w:ilvl w:val="0"/>
          <w:numId w:val="1004"/>
        </w:numPr>
      </w:pPr>
      <w:r>
        <w:rPr>
          <w:b/>
          <w:bCs/>
        </w:rPr>
        <w:t xml:space="preserve">Supplementary Figure S4:</w:t>
      </w:r>
      <w:r>
        <w:t xml:space="preserve"> </w:t>
      </w:r>
      <w:r>
        <w:t xml:space="preserve">Driver layers and experiment design in English.</w:t>
      </w:r>
    </w:p>
    <w:p>
      <w:r>
        <w:pict>
          <v:rect style="width:0;height:1.5pt" o:hralign="center" o:hrstd="t" o:hr="t"/>
        </w:pict>
      </w:r>
    </w:p>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2026-09-07T11:20:05Z</dcterms:created>
  <dcterms:modified xsi:type="dcterms:W3CDTF">2026-09-07T11:20:05Z</dcterms:modified>
</cp:coreProperties>
</file>

<file path=docProps/custom.xml><?xml version="1.0" encoding="utf-8"?>
<Properties xmlns="http://schemas.openxmlformats.org/officeDocument/2006/custom-properties" xmlns:vt="http://schemas.openxmlformats.org/officeDocument/2006/docPropsVTypes"/>
</file>