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f1511a8109b24064870830db84b786f9ef0e11"/>
    <w:p>
      <w:pPr>
        <w:pStyle w:val="Heading1"/>
      </w:pPr>
      <w:r>
        <w:t xml:space="preserve">Auditing constrained geospatial allocation under noisy annual land-cover labels</w:t>
      </w:r>
    </w:p>
    <w:p>
      <w:pPr>
        <w:pStyle w:val="FirstParagraph"/>
      </w:pPr>
      <w:r>
        <w:rPr>
          <w:b/>
          <w:bCs/>
        </w:rPr>
        <w:t xml:space="preserve">A Geospatial Kernel benchmark in Abu Dhabi</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 (</w:t>
      </w:r>
      <w:r>
        <w:rPr>
          <w:rStyle w:val="VerbatimChar"/>
        </w:rPr>
        <w:t xml:space="preserve">zhouning@freedotech.com</w:t>
      </w:r>
      <w:r>
        <w:t xml:space="preserve">)</w:t>
      </w:r>
    </w:p>
    <w:p>
      <w:pPr>
        <w:pStyle w:val="BodyText"/>
      </w:pPr>
      <w:r>
        <w:t xml:space="preserve">This study is not an official Abu Dhabi planning forecast. Correspondence: Ning Zhou, Beijing Freedo Technology Co., Ltd.; zhouning@freedotech.com.</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a clean run of the fully resolved environment, strict FoM was 0.1961 for Geospatial Kernel, 0.1256 for the GeoSOS-derived FLUS-style ANN–CA console (author-modified build) and 0.1619 for GeoFM-LDN in 2023; after recursive two-step rollout in 2024 the values were 0.2529, 0.1782 and 0.2708, respectively. On the high-confidence label subset, all three models had FoM 0.000 in 2023 and the 2024 maximum was 0.0188, showing that full-grid agreement is strongly conditioned by label noise. The planning track is therefore reported as scenario stress testing, not official forecasting. The released public bundle, source, checkpoints, rasters, vector footprints and audit manifests support locked-environment reproduction; cross-stack variation is quantified rather than assumed absent.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High-confidence labels reveal near-zero measured change skill.</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treats high-confidence subset failure as a primary result under noisy annual labels, rather than as a minor diagnostic.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deb0a54</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reviewer-provided Windows x86_64 seeds; the remaining macOS seed-31 run is not used as a valid estimator.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26" w:name="results"/>
    <w:p>
      <w:pPr>
        <w:pStyle w:val="Heading2"/>
      </w:pPr>
      <w:r>
        <w:t xml:space="preserve">Results</w:t>
      </w:r>
    </w:p>
    <w:bookmarkStart w:id="22"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2"/>
    <w:bookmarkStart w:id="23"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 Historical allocation scores.</w:t>
      </w:r>
      <w:r>
        <w:t xml:space="preserve"> </w:t>
      </w:r>
      <w:r>
        <w:t xml:space="preserve">Values are means across the three</w:t>
      </w:r>
      <w:r>
        <w:t xml:space="preserve"> </w:t>
      </w:r>
      <w:r>
        <w:t xml:space="preserve">frozen computational seeds; the strict multi-class change FoM is the primary</w:t>
      </w:r>
      <w:r>
        <w:t xml:space="preserve"> </w:t>
      </w:r>
      <w:r>
        <w:t xml:space="preserve">metric and the remaining columns are diagnostics. The 25-feature FLUS run is</w:t>
      </w:r>
      <w:r>
        <w:t xml:space="preserve"> </w:t>
      </w:r>
      <w:r>
        <w:t xml:space="preserve">excluded from this table because it is not a comparable estimator. Across six</w:t>
      </w:r>
      <w:r>
        <w:t xml:space="preserve"> </w:t>
      </w:r>
      <w:r>
        <w:t xml:space="preserve">platform–seed runs, five collapsed to zero-change outputs through current-class</w:t>
      </w:r>
      <w:r>
        <w:t xml:space="preserve"> </w:t>
      </w:r>
      <w:r>
        <w:t xml:space="preserve">identity leakage, so the non-collapsed macOS seed-31 result is retained only in</w:t>
      </w:r>
      <w:r>
        <w:t xml:space="preserve"> </w:t>
      </w:r>
      <w:r>
        <w:t xml:space="preserve">the diagnostic archive. Persistence and random minimum-change are explicit</w:t>
      </w:r>
      <w:r>
        <w:t xml:space="preserve"> </w:t>
      </w:r>
      <w:r>
        <w:t xml:space="preserve">zero-model controls rather than learned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Target year</w:t>
            </w:r>
          </w:p>
        </w:tc>
        <w:tc>
          <w:tcPr/>
          <w:p>
            <w:pPr>
              <w:pStyle w:val="Compact"/>
              <w:jc w:val="right"/>
            </w:pPr>
            <w:r>
              <w:t xml:space="preserve">FLUS-style (7)</w:t>
            </w:r>
          </w:p>
        </w:tc>
        <w:tc>
          <w:tcPr/>
          <w:p>
            <w:pPr>
              <w:pStyle w:val="Compact"/>
              <w:jc w:val="right"/>
            </w:pPr>
            <w:r>
              <w:t xml:space="preserve">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BodyText"/>
      </w:pPr>
      <w:r>
        <w:t xml:space="preserve">The reviewer-requested FLUS input-dimension analysis was also completed. The</w:t>
      </w:r>
      <w:r>
        <w:t xml:space="preserve"> </w:t>
      </w:r>
      <w:r>
        <w:t xml:space="preserve">25-feature run is not a valid point estimator: macOS seeds 47 and 73 and all</w:t>
      </w:r>
      <w:r>
        <w:t xml:space="preserve"> </w:t>
      </w:r>
      <w:r>
        <w:t xml:space="preserve">three reviewer-provided Windows x86_64 seeds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reliability sensitivity is substantially less favourable. Requiring both</w:t>
      </w:r>
      <w:r>
        <w:t xml:space="preserve"> </w:t>
      </w:r>
      <w:r>
        <w:t xml:space="preserve">the origin and target Dynamic World mean top probability to exceed 0.5 leaves</w:t>
      </w:r>
      <w:r>
        <w:t xml:space="preserve"> </w:t>
      </w:r>
      <w:r>
        <w:t xml:space="preserve">strict FoM at 0.000 for all three models in 2023; in 2024 the means are 0.004</w:t>
      </w:r>
      <w:r>
        <w:t xml:space="preserve"> </w:t>
      </w:r>
      <w:r>
        <w:t xml:space="preserve">for the FLUS-style console, 0.005 for Geospatial Kernel and 0.019 for GeoFM-LDN. This is</w:t>
      </w:r>
      <w:r>
        <w:t xml:space="preserve"> </w:t>
      </w:r>
      <w:r>
        <w:t xml:space="preserve">a label-quality diagnostic, not an independent validation set. Dynamic World</w:t>
      </w:r>
      <w:r>
        <w:t xml:space="preserve"> </w:t>
      </w:r>
      <w:r>
        <w:t xml:space="preserve">also reports built pixels increasing from 9,359 in 2022 to 15,598 in 2024</w:t>
      </w:r>
      <w:r>
        <w:t xml:space="preserve"> </w:t>
      </w:r>
      <w:r>
        <w:t xml:space="preserve">(67%), while the median one-year reversion fraction is 0.3611 and the mean</w:t>
      </w:r>
      <w:r>
        <w:t xml:space="preserve"> </w:t>
      </w:r>
      <w:r>
        <w:t xml:space="preserve">fraction of cells below confidence 0.5 is 0.5497. Test-year change counts are</w:t>
      </w:r>
      <w:r>
        <w:t xml:space="preserve"> </w:t>
      </w:r>
      <w:r>
        <w:t xml:space="preserve">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The reviewer-provided</w:t>
      </w:r>
      <w:r>
        <w:t xml:space="preserve"> </w:t>
      </w:r>
      <w:r>
        <w:t xml:space="preserve">Windows FLUS rerun additionally showed 2–4% differing cells from the macOS</w:t>
      </w:r>
      <w:r>
        <w:t xml:space="preserve"> </w:t>
      </w:r>
      <w:r>
        <w:t xml:space="preserve">seven-driver outputs, consistent with the platform-dependent C</w:t>
      </w:r>
      <w:r>
        <w:t xml:space="preserve"> </w:t>
      </w:r>
      <w:r>
        <w:rPr>
          <w:rStyle w:val="VerbatimChar"/>
        </w:rPr>
        <w:t xml:space="preserve">rand()</w:t>
      </w:r>
      <w:r>
        <w:t xml:space="preserve">/</w:t>
      </w:r>
      <w:r>
        <w:rPr>
          <w:rStyle w:val="VerbatimChar"/>
        </w:rPr>
        <w:t xml:space="preserve">srand()</w:t>
      </w:r>
      <w:r>
        <w:t xml:space="preserve"> </w:t>
      </w:r>
      <w:r>
        <w:t xml:space="preserve">stream. The repository does not contain the reviewer’s</w:t>
      </w:r>
      <w:r>
        <w:t xml:space="preserve"> </w:t>
      </w:r>
      <w:r>
        <w:t xml:space="preserve">Windows raster files, so those values are explicitly external verification</w:t>
      </w:r>
      <w:r>
        <w:t xml:space="preserve"> </w:t>
      </w:r>
      <w:r>
        <w:t xml:space="preserve">rather than a local replay. The archived comparison report records the exact</w:t>
      </w:r>
      <w:r>
        <w:t xml:space="preserve"> </w:t>
      </w:r>
      <w:r>
        <w:t xml:space="preserve">paths and environment fields for the arm64 pair. This documents measured</w:t>
      </w:r>
      <w:r>
        <w:t xml:space="preserve"> </w:t>
      </w:r>
      <w:r>
        <w:t xml:space="preserve">cross-stack sensitivity, not universal bitwise identity.</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r>
        <w:t xml:space="preserve"> </w:t>
      </w: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The resulting 2031 ensemble rasters</w:t>
      </w:r>
      <w:r>
        <w:t xml:space="preserve"> </w:t>
      </w:r>
      <w:r>
        <w:t xml:space="preserve">and their dissolved cell-change footprints are shown in Fig. 5; they are</w:t>
      </w:r>
      <w:r>
        <w:t xml:space="preserve"> </w:t>
      </w:r>
      <w:r>
        <w:t xml:space="preserve">scenario-conditioned land-cover maps, not parcel boundaries or statutory zoning</w:t>
      </w:r>
      <w:r>
        <w:t xml:space="preserve"> </w:t>
      </w:r>
      <w:r>
        <w:t xml:space="preserve">maps.</w:t>
      </w:r>
    </w:p>
    <w:p>
      <w:pPr>
        <w:pStyle w:val="BodyText"/>
      </w:pPr>
      <w:r>
        <w:rPr>
          <w:b/>
          <w:bCs/>
        </w:rPr>
        <w:t xml:space="preserve">Table 2 | 2031 within-scenario planning objectives.</w:t>
      </w:r>
      <w:r>
        <w:t xml:space="preserve"> </w:t>
      </w:r>
      <w:r>
        <w:t xml:space="preserve">Values are means across</w:t>
      </w:r>
      <w:r>
        <w:t xml:space="preserve"> </w:t>
      </w:r>
      <w:r>
        <w:t xml:space="preserve">three seeds. Distances are metres, union-built component density is the number</w:t>
      </w:r>
      <w:r>
        <w:t xml:space="preserve"> </w:t>
      </w:r>
      <w:r>
        <w:t xml:space="preserve">of connected components in the combined 2024-built and newly built footprint per 1,000</w:t>
      </w:r>
      <w:r>
        <w:t xml:space="preserve"> </w:t>
      </w:r>
      <w:r>
        <w:t xml:space="preserve">valid cells, and ecological conversion is a descriptive fraction of new-built</w:t>
      </w:r>
      <w:r>
        <w:t xml:space="preserve"> </w:t>
      </w:r>
      <w:r>
        <w:t xml:space="preserve">cells whose origin class was woody, low vegetation or wetland. A star denotes</w:t>
      </w:r>
      <w:r>
        <w:t xml:space="preserve"> </w:t>
      </w:r>
      <w:r>
        <w:t xml:space="preserve">membership in the primary within-scenario Pareto frontier.</w:t>
      </w:r>
    </w:p>
    <w:tbl>
      <w:tblPr>
        <w:tblStyle w:val="Table"/>
        <w:tblW w:type="pct" w:w="5000"/>
        <w:tblLayout w:type="fixed"/>
        <w:tblLook w:firstRow="1" w:lastRow="0" w:firstColumn="0" w:lastColumn="0" w:noHBand="0" w:noVBand="0" w:val="0020"/>
      </w:tblPr>
      <w:tblGrid>
        <w:gridCol w:w="880"/>
        <w:gridCol w:w="880"/>
        <w:gridCol w:w="1173"/>
        <w:gridCol w:w="1173"/>
        <w:gridCol w:w="1173"/>
        <w:gridCol w:w="1173"/>
        <w:gridCol w:w="1466"/>
      </w:tblGrid>
      <w:tr>
        <w:trPr>
          <w:tblHeader w:val="on"/>
        </w:trPr>
        <w:tc>
          <w:tcPr/>
          <w:p>
            <w:pPr>
              <w:pStyle w:val="Compact"/>
            </w:pPr>
            <w:r>
              <w:t xml:space="preserve">Model</w:t>
            </w:r>
          </w:p>
        </w:tc>
        <w:tc>
          <w:tcPr/>
          <w:p>
            <w:pPr>
              <w:pStyle w:val="Compact"/>
            </w:pPr>
            <w:r>
              <w:t xml:space="preserve">Scenario</w:t>
            </w:r>
          </w:p>
        </w:tc>
        <w:tc>
          <w:tcPr/>
          <w:p>
            <w:pPr>
              <w:pStyle w:val="Compact"/>
              <w:jc w:val="right"/>
            </w:pPr>
            <w:r>
              <w:t xml:space="preserve">Major-road distance</w:t>
            </w:r>
          </w:p>
        </w:tc>
        <w:tc>
          <w:tcPr/>
          <w:p>
            <w:pPr>
              <w:pStyle w:val="Compact"/>
              <w:jc w:val="right"/>
            </w:pPr>
            <w:r>
              <w:t xml:space="preserve">Prior-built distance</w:t>
            </w:r>
          </w:p>
        </w:tc>
        <w:tc>
          <w:tcPr/>
          <w:p>
            <w:pPr>
              <w:pStyle w:val="Compact"/>
              <w:jc w:val="right"/>
            </w:pPr>
            <w:r>
              <w:t xml:space="preserve">Union-built components/1,000</w:t>
            </w:r>
          </w:p>
        </w:tc>
        <w:tc>
          <w:tcPr/>
          <w:p>
            <w:pPr>
              <w:pStyle w:val="Compact"/>
              <w:jc w:val="right"/>
            </w:pPr>
            <w:r>
              <w:t xml:space="preserve">Ecological conversion (diagnostic)</w:t>
            </w:r>
          </w:p>
        </w:tc>
        <w:tc>
          <w:tcPr/>
          <w:p>
            <w:pPr>
              <w:pStyle w:val="Compact"/>
              <w:jc w:val="center"/>
            </w:pPr>
            <w:r>
              <w:t xml:space="preserve">Frontier</w:t>
            </w:r>
          </w:p>
        </w:tc>
      </w:tr>
      <w:tr>
        <w:tc>
          <w:tcPr/>
          <w:p>
            <w:pPr>
              <w:pStyle w:val="Compact"/>
            </w:pPr>
            <w:r>
              <w:t xml:space="preserve">FLUS-style ANN–CA</w:t>
            </w:r>
          </w:p>
        </w:tc>
        <w:tc>
          <w:tcPr/>
          <w:p>
            <w:pPr>
              <w:pStyle w:val="Compact"/>
            </w:pPr>
            <w:r>
              <w:t xml:space="preserve">Moderate</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pPr>
            <w:r>
              <w:t xml:space="preserve">Geospatial Kernel</w:t>
            </w:r>
          </w:p>
        </w:tc>
        <w:tc>
          <w:tcPr/>
          <w:p>
            <w:pPr>
              <w:pStyle w:val="Compact"/>
            </w:pPr>
            <w:r>
              <w:t xml:space="preserve">Moderate</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Moderate</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Green-priority</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pPr>
            <w:r>
              <w:t xml:space="preserve">Geospatial Kernel</w:t>
            </w:r>
          </w:p>
        </w:tc>
        <w:tc>
          <w:tcPr/>
          <w:p>
            <w:pPr>
              <w:pStyle w:val="Compact"/>
            </w:pPr>
            <w:r>
              <w:t xml:space="preserve">Green-priority</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Green-priority</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High outward</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pPr>
            <w:r>
              <w:t xml:space="preserve">Geospatial Kernel</w:t>
            </w:r>
          </w:p>
        </w:tc>
        <w:tc>
          <w:tcPr/>
          <w:p>
            <w:pPr>
              <w:pStyle w:val="Compact"/>
            </w:pPr>
            <w:r>
              <w:t xml:space="preserve">High outward</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High outward</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23"/>
    <w:bookmarkStart w:id="24"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the proposal controls, while Fig. 4B–D reports runtime and planning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24"/>
    <w:bookmarkStart w:id="2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bookmarkEnd w:id="25"/>
    <w:bookmarkEnd w:id="26"/>
    <w:bookmarkStart w:id="2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high-confidence subset shows near-zero skill for all models in 2023 and at most 0.0188 FoM in 2024, so full-grid rankings should not be interpreted as validated urban-change skill.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27"/>
    <w:bookmarkStart w:id="2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valid cells (0.62%–1.44%), with strict-FoM deltas from -0.0023 to +0.0010; these cross-stack differences are quantified rather than treated as categorical identity. Reviewer-provided Windows x86_64 values are separately labelled as external verification because the corresponding rasters are not archived locally. No private database address, credential or client-only service is included. Authoritative Abu Dhabi land-use and independent change-validation data remain outside this study.</w:t>
      </w:r>
    </w:p>
    <w:bookmarkEnd w:id="28"/>
    <w:bookmarkStart w:id="2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under</w:t>
      </w:r>
      <w:r>
        <w:t xml:space="preserve"> </w:t>
      </w:r>
      <w:r>
        <w:rPr>
          <w:rStyle w:val="VerbatimChar"/>
        </w:rPr>
        <w:t xml:space="preserve">benchmarks/abu_dhabi_land_use_v1/external/</w:t>
      </w:r>
      <w:r>
        <w:t xml:space="preserve"> </w:t>
      </w:r>
      <w:r>
        <w:t xml:space="preserve">and</w:t>
      </w:r>
      <w:r>
        <w:t xml:space="preserve"> </w:t>
      </w:r>
      <w:r>
        <w:rPr>
          <w:rStyle w:val="VerbatimChar"/>
        </w:rPr>
        <w:t xml:space="preserve">artifacts/predictions/</w:t>
      </w:r>
      <w:r>
        <w:t xml:space="preserv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rPr>
          <w:rStyle w:val="VerbatimChar"/>
        </w:rPr>
        <w:t xml:space="preserve">https://github.com/zhouning/FLUS_console_crossplatform</w:t>
      </w:r>
      <w:r>
        <w:t xml:space="preserve">, tag</w:t>
      </w:r>
      <w:r>
        <w:t xml:space="preserve"> </w:t>
      </w:r>
      <w:r>
        <w:rPr>
          <w:rStyle w:val="VerbatimChar"/>
        </w:rPr>
        <w:t xml:space="preserve">paper-benchmark-flus-v1</w:t>
      </w:r>
      <w:r>
        <w:t xml:space="preserve"> </w:t>
      </w:r>
      <w:r>
        <w:t xml:space="preserve">at commit</w:t>
      </w:r>
      <w:r>
        <w:t xml:space="preserve"> </w:t>
      </w:r>
      <w:r>
        <w:rPr>
          <w:rStyle w:val="VerbatimChar"/>
        </w:rPr>
        <w:t xml:space="preserve">deb0a54</w:t>
      </w:r>
      <w:r>
        <w:t xml:space="preserve"> </w:t>
      </w:r>
      <w:r>
        <w:t xml:space="preserve">(the GeoSOS source release and Liu et al. (2017) are cited above). Rebuilding</w:t>
      </w:r>
      <w:r>
        <w:t xml:space="preserve"> </w:t>
      </w:r>
      <w:r>
        <w:t xml:space="preserve">that commit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The reviewer-provided</w:t>
      </w:r>
      <w:r>
        <w:t xml:space="preserve"> </w:t>
      </w:r>
      <w:r>
        <w:t xml:space="preserve">Windows rerun differed from macOS by approximately 2–4% of valid categorical</w:t>
      </w:r>
      <w:r>
        <w:t xml:space="preserve"> </w:t>
      </w:r>
      <w:r>
        <w:t xml:space="preserve">cells for the seven-driver control, and all three Windows 25-feature runs</w:t>
      </w:r>
      <w:r>
        <w:t xml:space="preserve"> </w:t>
      </w:r>
      <w:r>
        <w:t xml:space="preserve">collapsed to zero change. Windows execution requires the benchmark and working</w:t>
      </w:r>
      <w:r>
        <w:t xml:space="preserve"> </w:t>
      </w:r>
      <w:r>
        <w:t xml:space="preserve">directories to use pure ASCII paths; saving configuration files as UTF-8 alone</w:t>
      </w:r>
      <w:r>
        <w:t xml:space="preserve"> </w:t>
      </w:r>
      <w:r>
        <w:t xml:space="preserve">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an archival DOI should be added after a persistent</w:t>
      </w:r>
      <w:r>
        <w:t xml:space="preserve"> </w:t>
      </w:r>
      <w:r>
        <w:t xml:space="preserve">public release is created.</w:t>
      </w:r>
    </w:p>
    <w:bookmarkEnd w:id="29"/>
    <w:bookmarkStart w:id="3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0"/>
    <w:bookmarkStart w:id="3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1"/>
    <w:bookmarkStart w:id="47" w:name="figure-legends"/>
    <w:p>
      <w:pPr>
        <w:pStyle w:val="Heading2"/>
      </w:pPr>
      <w:r>
        <w:t xml:space="preserve">Figure legends</w:t>
      </w:r>
    </w:p>
    <w:p>
      <w:pPr>
        <w:pStyle w:val="FirstParagraph"/>
      </w:pPr>
      <w:r>
        <w:drawing>
          <wp:inline>
            <wp:extent cx="5334000" cy="3481042"/>
            <wp:effectExtent b="0" l="0" r="0" t="0"/>
            <wp:docPr descr="" title="" id="33" name="Picture"/>
            <a:graphic>
              <a:graphicData uri="http://schemas.openxmlformats.org/drawingml/2006/picture">
                <pic:pic>
                  <pic:nvPicPr>
                    <pic:cNvPr descr="figures/fig01_benchmark_contract.png" id="34" name="Picture"/>
                    <pic:cNvPicPr>
                      <a:picLocks noChangeArrowheads="1" noChangeAspect="1"/>
                    </pic:cNvPicPr>
                  </pic:nvPicPr>
                  <pic:blipFill>
                    <a:blip r:embed="rId32"/>
                    <a:stretch>
                      <a:fillRect/>
                    </a:stretch>
                  </pic:blipFill>
                  <pic:spPr bwMode="auto">
                    <a:xfrm>
                      <a:off x="0" y="0"/>
                      <a:ext cx="5334000" cy="3481042"/>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2561061"/>
            <wp:effectExtent b="0" l="0" r="0" t="0"/>
            <wp:docPr descr="" title="" id="36" name="Picture"/>
            <a:graphic>
              <a:graphicData uri="http://schemas.openxmlformats.org/drawingml/2006/picture">
                <pic:pic>
                  <pic:nvPicPr>
                    <pic:cNvPr descr="figures/fig02_historical_validation.png" id="37" name="Picture"/>
                    <pic:cNvPicPr>
                      <a:picLocks noChangeArrowheads="1" noChangeAspect="1"/>
                    </pic:cNvPicPr>
                  </pic:nvPicPr>
                  <pic:blipFill>
                    <a:blip r:embed="rId35"/>
                    <a:stretch>
                      <a:fillRect/>
                    </a:stretch>
                  </pic:blipFill>
                  <pic:spPr bwMode="auto">
                    <a:xfrm>
                      <a:off x="0" y="0"/>
                      <a:ext cx="5334000" cy="2561061"/>
                    </a:xfrm>
                    <a:prstGeom prst="rect">
                      <a:avLst/>
                    </a:prstGeom>
                    <a:noFill/>
                    <a:ln w="9525">
                      <a:noFill/>
                      <a:headEnd/>
                      <a:tailEnd/>
                    </a:ln>
                  </pic:spPr>
                </pic:pic>
              </a:graphicData>
            </a:graphic>
          </wp:inline>
        </w:drawing>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Error bars show population standard deviation across the three frozen</w:t>
      </w:r>
      <w:r>
        <w:t xml:space="preserve"> </w:t>
      </w:r>
      <w:r>
        <w:t xml:space="preserve">seeds for the three main models. The 13-, 19- and 25-feature FLUS diagnostics</w:t>
      </w:r>
      <w:r>
        <w:t xml:space="preserve"> </w:t>
      </w:r>
      <w:r>
        <w:t xml:space="preserve">are reported separately in Supplementary Table S3. Paired spatial-block</w:t>
      </w:r>
      <w:r>
        <w:t xml:space="preserve"> </w:t>
      </w:r>
      <w:r>
        <w:t xml:space="preserve">intervals for the main models are reported in the machine-readable comparison</w:t>
      </w:r>
      <w:r>
        <w:t xml:space="preserve"> </w:t>
      </w:r>
      <w:r>
        <w:t xml:space="preserve">report.</w:t>
      </w:r>
    </w:p>
    <w:p>
      <w:pPr>
        <w:pStyle w:val="BodyText"/>
      </w:pPr>
      <w:r>
        <w:drawing>
          <wp:inline>
            <wp:extent cx="5334000" cy="3550480"/>
            <wp:effectExtent b="0" l="0" r="0" t="0"/>
            <wp:docPr descr="" title="" id="39" name="Picture"/>
            <a:graphic>
              <a:graphicData uri="http://schemas.openxmlformats.org/drawingml/2006/picture">
                <pic:pic>
                  <pic:nvPicPr>
                    <pic:cNvPr descr="figures/fig03_planning_objectives.png" id="40" name="Picture"/>
                    <pic:cNvPicPr>
                      <a:picLocks noChangeArrowheads="1" noChangeAspect="1"/>
                    </pic:cNvPicPr>
                  </pic:nvPicPr>
                  <pic:blipFill>
                    <a:blip r:embed="rId38"/>
                    <a:stretch>
                      <a:fillRect/>
                    </a:stretch>
                  </pic:blipFill>
                  <pic:spPr bwMode="auto">
                    <a:xfrm>
                      <a:off x="0" y="0"/>
                      <a:ext cx="5334000" cy="3550480"/>
                    </a:xfrm>
                    <a:prstGeom prst="rect">
                      <a:avLst/>
                    </a:prstGeom>
                    <a:noFill/>
                    <a:ln w="9525">
                      <a:noFill/>
                      <a:headEnd/>
                      <a:tailEnd/>
                    </a:ln>
                  </pic:spPr>
                </pic:pic>
              </a:graphicData>
            </a:graphic>
          </wp:inline>
        </w:drawing>
      </w:r>
    </w:p>
    <w:p>
      <w:pPr>
        <w:pStyle w:val="BodyText"/>
      </w:pPr>
      <w:r>
        <w:rPr>
          <w:b/>
          <w:bCs/>
        </w:rPr>
        <w:t xml:space="preserve">Figure 3 | Conditional planning objectives and morphology diagnostics.</w:t>
      </w:r>
      <w:r>
        <w:t xml:space="preserve"> </w:t>
      </w:r>
      <w:r>
        <w:t xml:space="preserve">The</w:t>
      </w:r>
      <w:r>
        <w:t xml:space="preserve"> </w:t>
      </w:r>
      <w:r>
        <w:t xml:space="preserve">2031 outcomes compare the three models under moderate-growth, green-priority-</w:t>
      </w:r>
      <w:r>
        <w:t xml:space="preserve"> </w:t>
      </w:r>
      <w:r>
        <w:t xml:space="preserve">growth and high-outward-growth actions. Panels A–C show the release objectives:</w:t>
      </w:r>
      <w:r>
        <w:t xml:space="preserve"> </w:t>
      </w:r>
      <w:r>
        <w:t xml:space="preserve">distance to major roads, distance to prior built cells and components in the</w:t>
      </w:r>
      <w:r>
        <w:t xml:space="preserve"> </w:t>
      </w:r>
      <w:r>
        <w:t xml:space="preserve">combined 2024-built and newly built footprint per 1,000 valid cells. Panel D shows</w:t>
      </w:r>
      <w:r>
        <w:t xml:space="preserve"> </w:t>
      </w:r>
      <w:r>
        <w:t xml:space="preserve">ecological conversion as a descriptive diagnostic; panel E shows vegetation gain</w:t>
      </w:r>
      <w:r>
        <w:t xml:space="preserve"> </w:t>
      </w:r>
      <w:r>
        <w:t xml:space="preserve">as a scenario-input diagnostic; panel F shows the 500-m leapfrog rate. Stars mark</w:t>
      </w:r>
      <w:r>
        <w:t xml:space="preserve"> </w:t>
      </w:r>
      <w:r>
        <w:t xml:space="preserve">non-dominated candidates within each scenario; bars show means ± population SD</w:t>
      </w:r>
      <w:r>
        <w:t xml:space="preserve"> </w:t>
      </w:r>
      <w:r>
        <w:t xml:space="preserve">across three seeds.</w:t>
      </w:r>
    </w:p>
    <w:p>
      <w:pPr>
        <w:pStyle w:val="BodyText"/>
      </w:pPr>
      <w:r>
        <w:drawing>
          <wp:inline>
            <wp:extent cx="5334000" cy="3703670"/>
            <wp:effectExtent b="0" l="0" r="0" t="0"/>
            <wp:docPr descr="" title="" id="42" name="Picture"/>
            <a:graphic>
              <a:graphicData uri="http://schemas.openxmlformats.org/drawingml/2006/picture">
                <pic:pic>
                  <pic:nvPicPr>
                    <pic:cNvPr descr="figures/fig04_mechanism_ablation.png" id="43" name="Picture"/>
                    <pic:cNvPicPr>
                      <a:picLocks noChangeArrowheads="1" noChangeAspect="1"/>
                    </pic:cNvPicPr>
                  </pic:nvPicPr>
                  <pic:blipFill>
                    <a:blip r:embed="rId41"/>
                    <a:stretch>
                      <a:fillRect/>
                    </a:stretch>
                  </pic:blipFill>
                  <pic:spPr bwMode="auto">
                    <a:xfrm>
                      <a:off x="0" y="0"/>
                      <a:ext cx="5334000" cy="3703670"/>
                    </a:xfrm>
                    <a:prstGeom prst="rect">
                      <a:avLst/>
                    </a:prstGeom>
                    <a:noFill/>
                    <a:ln w="9525">
                      <a:noFill/>
                      <a:headEnd/>
                      <a:tailEnd/>
                    </a:ln>
                  </pic:spPr>
                </pic:pic>
              </a:graphicData>
            </a:graphic>
          </wp:inline>
        </w:drawing>
      </w:r>
    </w:p>
    <w:p>
      <w:pPr>
        <w:pStyle w:val="BodyText"/>
      </w:pPr>
      <w:r>
        <w:rPr>
          <w:b/>
          <w:bCs/>
        </w:rPr>
        <w:t xml:space="preserve">Figure 4 | Mechanism controls.</w:t>
      </w:r>
      <w:r>
        <w:t xml:space="preserve"> </w:t>
      </w:r>
      <w:r>
        <w:t xml:space="preserve">Proposal, allocator, action, constraint and</w:t>
      </w:r>
      <w:r>
        <w:t xml:space="preserve"> </w:t>
      </w:r>
      <w:r>
        <w:t xml:space="preserve">writeback controls are compared under the same public-data protocol. Deleting</w:t>
      </w:r>
      <w:r>
        <w:t xml:space="preserve"> </w:t>
      </w:r>
      <w:r>
        <w:t xml:space="preserve">the action lowers historical strict FoM, whereas deleting the hard constraint</w:t>
      </w:r>
      <w:r>
        <w:t xml:space="preserve"> </w:t>
      </w:r>
      <w:r>
        <w:t xml:space="preserve">raises agreement with noisy labels while violating the planning contract.</w:t>
      </w:r>
      <w:r>
        <w:t xml:space="preserve"> </w:t>
      </w:r>
      <w:r>
        <w:t xml:space="preserve">These are diagnostic ablations, not causal policy experiments.</w:t>
      </w:r>
    </w:p>
    <w:p>
      <w:pPr>
        <w:pStyle w:val="BodyText"/>
      </w:pPr>
      <w:r>
        <w:drawing>
          <wp:inline>
            <wp:extent cx="5334000" cy="5443359"/>
            <wp:effectExtent b="0" l="0" r="0" t="0"/>
            <wp:docPr descr="" title="" id="45" name="Picture"/>
            <a:graphic>
              <a:graphicData uri="http://schemas.openxmlformats.org/drawingml/2006/picture">
                <pic:pic>
                  <pic:nvPicPr>
                    <pic:cNvPr descr="figures/fig05_planning_maps_2031.png" id="46" name="Picture"/>
                    <pic:cNvPicPr>
                      <a:picLocks noChangeArrowheads="1" noChangeAspect="1"/>
                    </pic:cNvPicPr>
                  </pic:nvPicPr>
                  <pic:blipFill>
                    <a:blip r:embed="rId44"/>
                    <a:stretch>
                      <a:fillRect/>
                    </a:stretch>
                  </pic:blipFill>
                  <pic:spPr bwMode="auto">
                    <a:xfrm>
                      <a:off x="0" y="0"/>
                      <a:ext cx="5334000" cy="5443359"/>
                    </a:xfrm>
                    <a:prstGeom prst="rect">
                      <a:avLst/>
                    </a:prstGeom>
                    <a:noFill/>
                    <a:ln w="9525">
                      <a:noFill/>
                      <a:headEnd/>
                      <a:tailEnd/>
                    </a:ln>
                  </pic:spPr>
                </pic:pic>
              </a:graphicData>
            </a:graphic>
          </wp:inline>
        </w:drawing>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2026-09-07T08:42:36Z</dcterms:created>
  <dcterms:modified xsi:type="dcterms:W3CDTF">2026-09-07T08:42:36Z</dcterms:modified>
</cp:coreProperties>
</file>

<file path=docProps/custom.xml><?xml version="1.0" encoding="utf-8"?>
<Properties xmlns="http://schemas.openxmlformats.org/officeDocument/2006/custom-properties" xmlns:vt="http://schemas.openxmlformats.org/officeDocument/2006/docPropsVTypes"/>
</file>