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9f1511a8109b24064870830db84b786f9ef0e11"/>
    <w:p>
      <w:pPr>
        <w:pStyle w:val="Heading1"/>
      </w:pPr>
      <w:r>
        <w:t xml:space="preserve">Auditing constrained geospatial allocation under noisy annual land-cover labels</w:t>
      </w:r>
    </w:p>
    <w:p>
      <w:pPr>
        <w:pStyle w:val="FirstParagraph"/>
      </w:pPr>
      <w:r>
        <w:rPr>
          <w:b/>
          <w:bCs/>
        </w:rPr>
        <w:t xml:space="preserve">A Geospatial Kernel benchmark in Abu Dhabi</w:t>
      </w:r>
    </w:p>
    <w:p>
      <w:pPr>
        <w:pStyle w:val="BodyText"/>
      </w:pPr>
      <w:r>
        <w:rPr>
          <w:b/>
          <w:bCs/>
        </w:rPr>
        <w:t xml:space="preserve">Author:</w:t>
      </w:r>
      <w:r>
        <w:t xml:space="preserve"> </w:t>
      </w:r>
      <w:r>
        <w:t xml:space="preserve">Ning Zhou</w:t>
      </w:r>
      <w:r>
        <w:br/>
      </w:r>
      <w:r>
        <w:rPr>
          <w:b/>
          <w:bCs/>
        </w:rPr>
        <w:t xml:space="preserve">Affiliation:</w:t>
      </w:r>
      <w:r>
        <w:t xml:space="preserve"> </w:t>
      </w:r>
      <w:r>
        <w:t xml:space="preserve">Beijing Freedo Technology Co., Ltd.</w:t>
      </w:r>
      <w:r>
        <w:br/>
      </w:r>
      <w:r>
        <w:rPr>
          <w:b/>
          <w:bCs/>
        </w:rPr>
        <w:t xml:space="preserve">Corresponding author:</w:t>
      </w:r>
      <w:r>
        <w:t xml:space="preserve"> </w:t>
      </w:r>
      <w:r>
        <w:t xml:space="preserve">Ning Zhou</w:t>
      </w:r>
    </w:p>
    <w:p>
      <w:pPr>
        <w:pStyle w:val="BodyText"/>
      </w:pPr>
      <w:r>
        <w:t xml:space="preserve">This study is not an official Abu Dhabi planning forecast. Correspondence: Ning Zhou, Beijing Freedo Technology Co., Ltd.</w:t>
      </w:r>
    </w:p>
    <w:bookmarkStart w:id="9" w:name="abstract"/>
    <w:p>
      <w:pPr>
        <w:pStyle w:val="Heading2"/>
      </w:pPr>
      <w:r>
        <w:t xml:space="preserve">Abstract</w:t>
      </w:r>
    </w:p>
    <w:p>
      <w:pPr>
        <w:pStyle w:val="FirstParagraph"/>
      </w:pPr>
      <w:r>
        <w:t xml:space="preserve">Urban land-change models are often evaluated against annual labels whose reliability is not spatially uniform. We present an auditable protocol for testing constrained spatial allocation under that uncertainty, using Geospatial Kernel, the algorithmic core of a Geospatial World Model, as the focal execution layer. The Abu Dhabi public-data benchmark uses annual 100-m land-cover products from 2017–2024, three computational seeds, destination-correct multi-class change Figure of Merit (FoM), spatial-block bootstrap contrasts and explicit state–action–constraint traces. The regenerated strict FoM was 0.1950 for Geospatial Kernel, 0.1256 for the FLUS-style ANN–CA console (untraceable build) and 0.1616 for GeoFM-LDN in 2023; after recursive two-step rollout in 2024 the values were 0.2520, 0.1782 and 0.2708, respectively. On the high-confidence label subset, all three models had FoM 0.000 in 2023 and the 2024 maximum was 0.0188, showing that full-grid agreement is strongly conditioned by label noise. The planning track is therefore reported as scenario stress testing, not official forecasting. The released public bundle, source, checkpoints, rasters, vector footprints and audit manifests support locked-environment reproduction. An author-run Linux comparison reproduced the six released Kernel rasters exactly at the categorical-cell level and yielded zero strict-FoM difference; this is a measurement of this controlled pair of environments, not a promise of bitwise identity for every numerical stack. The protocol’s principal contribution is an inspectable proposal–projection–writeback boundary for separating model behaviour from action and constraint semantics.</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constrained admission.</w:t>
      </w:r>
    </w:p>
    <w:p>
      <w:pPr>
        <w:pStyle w:val="Compact"/>
        <w:numPr>
          <w:ilvl w:val="0"/>
          <w:numId w:val="1001"/>
        </w:numPr>
      </w:pPr>
      <w:r>
        <w:t xml:space="preserve">Typed state–action–constraint traces make recursive updates auditable.</w:t>
      </w:r>
    </w:p>
    <w:p>
      <w:pPr>
        <w:pStyle w:val="Compact"/>
        <w:numPr>
          <w:ilvl w:val="0"/>
          <w:numId w:val="1001"/>
        </w:numPr>
      </w:pPr>
      <w:r>
        <w:t xml:space="preserve">Spatial-block uncertainty and paired model contrasts are reported explicitly.</w:t>
      </w:r>
    </w:p>
    <w:p>
      <w:pPr>
        <w:pStyle w:val="Compact"/>
        <w:numPr>
          <w:ilvl w:val="0"/>
          <w:numId w:val="1001"/>
        </w:numPr>
      </w:pPr>
      <w:r>
        <w:t xml:space="preserve">High-confidence labels reveal near-zero measured change skill.</w:t>
      </w:r>
    </w:p>
    <w:p>
      <w:pPr>
        <w:pStyle w:val="Compact"/>
        <w:numPr>
          <w:ilvl w:val="0"/>
          <w:numId w:val="1001"/>
        </w:numPr>
      </w:pPr>
      <w:r>
        <w:t xml:space="preserve">Planning outputs are scenario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treats high-confidence subset failure as a primary result under noisy annual labels, rather than as a minor diagnostic.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FLUS-style ANN–CA console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supplied Mach-O executable cannot be traced to a reproducible upstream release or source commit, so we label this control “FLUS-style ANN–CA console (untraceable build)” and do not claim equivalence to the Liu et al. (2017) implementation. A 25-feature Kernel-matched input was executed with absolute paths. The run completed for seed 31, wrote a valid probability surface and produced 2023/2024 predictions; its archived log, configuration and report are retained as a matched-input diagnostic rather than silently replacing the original seven-driver baseline. Two intermediate configurations (13 features: seven drivers plus current-class indicators; 19 features: seven drivers plus neighbourhood fractions) also completed for seed 31. Their results are dimensionality diagnostics, not additional three-seed headline comparisons.</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action; a global nine-candidate frontier is retained only as lineage. Sensitivity variants remove or add objective dimensions on the same released rasters. The objective set evolved through four review-driven revisions and was not preregistered: v1 mixed feasibility, action and outcome terms; v2 was not released; v3 used structurally problematic outcomes; and v4 still included scenario-supplied vegetation gain and all-built fragmentation. The current release is v6: road access, prior-built distance and union-built component density. Ecological conversion is reported as a diagnostic rather than a Pareto objective because it is structurally zero for the exact-count Kernel and GeoFM-LDN allocations. We treat v6 as a release objective set rather than a prespecified planning preference, and treat its sensitivity results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with the released public bundle, the input audit passed all alignment gates (with a Dynamic World label-noise warning) and the output audit passed 276 historical and planning predictions with zero failures. The vector layers preserve raster-cell geometry and should not be interpreted as cadastral parcels.</w:t>
      </w:r>
    </w:p>
    <w:bookmarkEnd w:id="20"/>
    <w:bookmarkEnd w:id="21"/>
    <w:bookmarkStart w:id="26" w:name="results"/>
    <w:p>
      <w:pPr>
        <w:pStyle w:val="Heading2"/>
      </w:pPr>
      <w:r>
        <w:t xml:space="preserve">Results</w:t>
      </w:r>
    </w:p>
    <w:bookmarkStart w:id="22"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an unmatched-input pipeline comparison, not evidence that one learner is intrinsically superior. The archived FLUS console is a Mach-O arm64 executable whose original source/version cannot be independently rebuilt from this release, so its results are bounded to the supplied Apple-Silicon binary and are not asserted to be bitwise equivalent to an upstream build. All models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bookmarkEnd w:id="22"/>
    <w:bookmarkStart w:id="23"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0.1950</w:t>
      </w:r>
      <w:r>
        <w:t xml:space="preserve"> </w:t>
      </w:r>
      <w:r>
        <w:t xml:space="preserve">and 0.1616 for the FLUS-style console, Geospatial Kernel and GeoFM-LDN in 2023,</w:t>
      </w:r>
      <w:r>
        <w:t xml:space="preserve"> </w:t>
      </w:r>
      <w:r>
        <w:t xml:space="preserve">and 0.1782, 0.2520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 Historical allocation scores.</w:t>
      </w:r>
      <w:r>
        <w:t xml:space="preserve"> </w:t>
      </w:r>
      <w:r>
        <w:t xml:space="preserve">Values are means across the three</w:t>
      </w:r>
      <w:r>
        <w:t xml:space="preserve"> </w:t>
      </w:r>
      <w:r>
        <w:t xml:space="preserve">frozen computational seeds; the strict multi-class change FoM is the primary</w:t>
      </w:r>
      <w:r>
        <w:t xml:space="preserve"> </w:t>
      </w:r>
      <w:r>
        <w:t xml:space="preserve">metric and the remaining columns are diagnostics. Persistence and random</w:t>
      </w:r>
      <w:r>
        <w:t xml:space="preserve"> </w:t>
      </w:r>
      <w:r>
        <w:t xml:space="preserve">minimum-change are explicit zero-model controls rather than learned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c>
          <w:tcPr/>
          <w:p>
            <w:pPr>
              <w:pStyle w:val="Compact"/>
              <w:jc w:val="right"/>
            </w:pPr>
            <w:r>
              <w:t xml:space="preserve">Persistence</w:t>
            </w:r>
          </w:p>
        </w:tc>
        <w:tc>
          <w:tcPr/>
          <w:p>
            <w:pPr>
              <w:pStyle w:val="Compact"/>
              <w:jc w:val="right"/>
            </w:pPr>
            <w:r>
              <w:t xml:space="preserve">Random minimum-change</w:t>
            </w:r>
          </w:p>
        </w:tc>
      </w:tr>
      <w:tr>
        <w:tc>
          <w:tcPr/>
          <w:p>
            <w:pPr>
              <w:pStyle w:val="Compact"/>
              <w:jc w:val="right"/>
            </w:pPr>
            <w:r>
              <w:t xml:space="preserve">2023 (1-step)</w:t>
            </w:r>
          </w:p>
        </w:tc>
        <w:tc>
          <w:tcPr/>
          <w:p>
            <w:pPr>
              <w:pStyle w:val="Compact"/>
              <w:jc w:val="right"/>
            </w:pPr>
            <w:r>
              <w:t xml:space="preserve">0.1256</w:t>
            </w:r>
          </w:p>
        </w:tc>
        <w:tc>
          <w:tcPr/>
          <w:p>
            <w:pPr>
              <w:pStyle w:val="Compact"/>
              <w:jc w:val="right"/>
            </w:pPr>
            <w:r>
              <w:rPr>
                <w:b/>
                <w:bCs/>
              </w:rPr>
              <w:t xml:space="preserve">0.1950</w:t>
            </w:r>
          </w:p>
        </w:tc>
        <w:tc>
          <w:tcPr/>
          <w:p>
            <w:pPr>
              <w:pStyle w:val="Compact"/>
              <w:jc w:val="right"/>
            </w:pPr>
            <w:r>
              <w:t xml:space="preserve">0.1616</w:t>
            </w:r>
          </w:p>
        </w:tc>
        <w:tc>
          <w:tcPr/>
          <w:p>
            <w:pPr>
              <w:pStyle w:val="Compact"/>
              <w:jc w:val="right"/>
            </w:pPr>
            <w:r>
              <w:t xml:space="preserve">0.0000</w:t>
            </w:r>
          </w:p>
        </w:tc>
        <w:tc>
          <w:tcPr/>
          <w:p>
            <w:pPr>
              <w:pStyle w:val="Compact"/>
              <w:jc w:val="right"/>
            </w:pPr>
            <w:r>
              <w:t xml:space="preserve">0.0253</w:t>
            </w:r>
          </w:p>
        </w:tc>
      </w:tr>
      <w:tr>
        <w:tc>
          <w:tcPr/>
          <w:p>
            <w:pPr>
              <w:pStyle w:val="Compact"/>
              <w:jc w:val="right"/>
            </w:pPr>
            <w:r>
              <w:t xml:space="preserve">2024 (2-step open-loop)</w:t>
            </w:r>
          </w:p>
        </w:tc>
        <w:tc>
          <w:tcPr/>
          <w:p>
            <w:pPr>
              <w:pStyle w:val="Compact"/>
              <w:jc w:val="right"/>
            </w:pPr>
            <w:r>
              <w:t xml:space="preserve">0.1782</w:t>
            </w:r>
          </w:p>
        </w:tc>
        <w:tc>
          <w:tcPr/>
          <w:p>
            <w:pPr>
              <w:pStyle w:val="Compact"/>
              <w:jc w:val="right"/>
            </w:pPr>
            <w:r>
              <w:t xml:space="preserve">0.2520</w:t>
            </w:r>
          </w:p>
        </w:tc>
        <w:tc>
          <w:tcPr/>
          <w:p>
            <w:pPr>
              <w:pStyle w:val="Compact"/>
              <w:jc w:val="right"/>
            </w:pPr>
            <w:r>
              <w:rPr>
                <w:b/>
                <w:bCs/>
              </w:rPr>
              <w:t xml:space="preserve">0.2708</w:t>
            </w:r>
          </w:p>
        </w:tc>
        <w:tc>
          <w:tcPr/>
          <w:p>
            <w:pPr>
              <w:pStyle w:val="Compact"/>
              <w:jc w:val="right"/>
            </w:pPr>
            <w:r>
              <w:t xml:space="preserve">0.0000</w:t>
            </w:r>
          </w:p>
        </w:tc>
        <w:tc>
          <w:tcPr/>
          <w:p>
            <w:pPr>
              <w:pStyle w:val="Compact"/>
              <w:jc w:val="right"/>
            </w:pPr>
            <w:r>
              <w:t xml:space="preserve">0.0605</w:t>
            </w:r>
          </w:p>
        </w:tc>
      </w:tr>
    </w:tbl>
    <w:p>
      <w:pPr>
        <w:pStyle w:val="BodyText"/>
      </w:pPr>
      <w:r>
        <w:t xml:space="preserve">Spatial-block bootstrap model contrasts support these differences. For 2023,</w:t>
      </w:r>
      <w:r>
        <w:t xml:space="preserve"> </w:t>
      </w:r>
      <w:r>
        <w:t xml:space="preserve">Kernel minus the FLUS-style control was 0.0692 [0.0546, 0.0859] and GeoFM-LDN</w:t>
      </w:r>
      <w:r>
        <w:t xml:space="preserve"> </w:t>
      </w:r>
      <w:r>
        <w:t xml:space="preserve">minus Kernel was −0.0333 [−0.0478, −0.0201]. For 2024, GeoFM-LDN minus Kernel</w:t>
      </w:r>
      <w:r>
        <w:t xml:space="preserve"> </w:t>
      </w:r>
      <w:r>
        <w:t xml:space="preserve">was 0.0184 [0.0046, 0.0321].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Figure 2 shows</w:t>
      </w:r>
      <w:r>
        <w:t xml:space="preserve"> </w:t>
      </w:r>
      <w:r>
        <w:t xml:space="preserve">the four historical metrics alongside the persistence and random minimum-change</w:t>
      </w:r>
      <w:r>
        <w:t xml:space="preserve"> </w:t>
      </w:r>
      <w:r>
        <w:t xml:space="preserve">controls; bars use three-seed population standard deviations, whereas the</w:t>
      </w:r>
      <w:r>
        <w:t xml:space="preserve"> </w:t>
      </w:r>
      <w:r>
        <w:t xml:space="preserve">paired spatial-block intervals above are the uncertainty summaries used for</w:t>
      </w:r>
      <w:r>
        <w:t xml:space="preserve"> </w:t>
      </w:r>
      <w:r>
        <w:t xml:space="preserve">model contrasts.</w:t>
      </w:r>
    </w:p>
    <w:p>
      <w:pPr>
        <w:pStyle w:val="BodyText"/>
      </w:pPr>
      <w:r>
        <w:t xml:space="preserve">The reviewer-requested FLUS input-dimension diagnostic was also completed. With</w:t>
      </w:r>
      <w:r>
        <w:t xml:space="preserve"> </w:t>
      </w:r>
      <w:r>
        <w:t xml:space="preserve">seed 31 and the same absolute-path console protocol, the 13-feature</w:t>
      </w:r>
      <w:r>
        <w:t xml:space="preserve"> </w:t>
      </w:r>
      <w:r>
        <w:t xml:space="preserve">seven-driver-plus-current-class run had strict FoM 0.0000 for both 2023 and</w:t>
      </w:r>
      <w:r>
        <w:t xml:space="preserve"> </w:t>
      </w:r>
      <w:r>
        <w:t xml:space="preserve">2024; the 19-feature seven-driver-plus-neighbourhood run had 0.1371 and 0.1149;</w:t>
      </w:r>
      <w:r>
        <w:t xml:space="preserve"> </w:t>
      </w:r>
      <w:r>
        <w:t xml:space="preserve">and the full 25-feature Kernel-matched run had 0.1320 and 0.1960. These are</w:t>
      </w:r>
      <w:r>
        <w:t xml:space="preserve"> </w:t>
      </w:r>
      <w:r>
        <w:t xml:space="preserve">single-seed diagnostics and are not substituted for the frozen three-seed</w:t>
      </w:r>
      <w:r>
        <w:t xml:space="preserve"> </w:t>
      </w:r>
      <w:r>
        <w:t xml:space="preserve">headline comparison. They show that the earlier failure was a relative-path</w:t>
      </w:r>
      <w:r>
        <w:t xml:space="preserve"> </w:t>
      </w:r>
      <w:r>
        <w:t xml:space="preserve">configuration error and that adding feature families alone does not reproduce</w:t>
      </w:r>
      <w:r>
        <w:t xml:space="preserve"> </w:t>
      </w:r>
      <w:r>
        <w:t xml:space="preserve">the Kernel proposal or its projection semantics.</w:t>
      </w:r>
    </w:p>
    <w:p>
      <w:pPr>
        <w:pStyle w:val="BodyText"/>
      </w:pPr>
      <w:r>
        <w:t xml:space="preserve">The reliability sensitivity is substantially less favourable. Requiring both</w:t>
      </w:r>
      <w:r>
        <w:t xml:space="preserve"> </w:t>
      </w:r>
      <w:r>
        <w:t xml:space="preserve">the origin and target Dynamic World mean top probability to exceed 0.5 leaves</w:t>
      </w:r>
      <w:r>
        <w:t xml:space="preserve"> </w:t>
      </w:r>
      <w:r>
        <w:t xml:space="preserve">strict FoM at 0.000 for all three models in 2023; in 2024 the means are 0.004</w:t>
      </w:r>
      <w:r>
        <w:t xml:space="preserve"> </w:t>
      </w:r>
      <w:r>
        <w:t xml:space="preserve">for the FLUS-style console, 0.005 for Geospatial Kernel and 0.019 for GeoFM-LDN. This is</w:t>
      </w:r>
      <w:r>
        <w:t xml:space="preserve"> </w:t>
      </w:r>
      <w:r>
        <w:t xml:space="preserve">a label-quality diagnostic, not an independent validation set. Dynamic World</w:t>
      </w:r>
      <w:r>
        <w:t xml:space="preserve"> </w:t>
      </w:r>
      <w:r>
        <w:t xml:space="preserve">also reports built pixels increasing from 9,359 in 2022 to 15,598 in 2024</w:t>
      </w:r>
      <w:r>
        <w:t xml:space="preserve"> </w:t>
      </w:r>
      <w:r>
        <w:t xml:space="preserve">(67%), while the median one-year reversion fraction is 0.3611 and the mean</w:t>
      </w:r>
      <w:r>
        <w:t xml:space="preserve"> </w:t>
      </w:r>
      <w:r>
        <w:t xml:space="preserve">fraction of cells below confidence 0.5 is 0.5497. Test-year change counts are</w:t>
      </w:r>
      <w:r>
        <w:t xml:space="preserve"> </w:t>
      </w:r>
      <w:r>
        <w:t xml:space="preserve">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p>
      <w:pPr>
        <w:pStyle w:val="BodyText"/>
      </w:pPr>
      <w:r>
        <w:t xml:space="preserve">The reference reproduction environment is macOS arm64 with Python 3.11 and</w:t>
      </w:r>
      <w:r>
        <w:t xml:space="preserve"> </w:t>
      </w:r>
      <w:r>
        <w:t xml:space="preserve">scikit-learn 1.9.0. We also reran Geospatial Kernel in a Linux container using the same source,</w:t>
      </w:r>
      <w:r>
        <w:t xml:space="preserve"> </w:t>
      </w:r>
      <w:r>
        <w:t xml:space="preserve">inputs and seeds 31, 47 and 73. The author-run comparison covered six rasters</w:t>
      </w:r>
      <w:r>
        <w:t xml:space="preserve"> </w:t>
      </w:r>
      <w:r>
        <w:t xml:space="preserve">(2023 and 2024 for each seed): all six had zero differing categorical cells and</w:t>
      </w:r>
      <w:r>
        <w:t xml:space="preserve"> </w:t>
      </w:r>
      <w:r>
        <w:t xml:space="preserve">zero strict-FoM delta. The archived comparison report records the exact raster</w:t>
      </w:r>
      <w:r>
        <w:t xml:space="preserve"> </w:t>
      </w:r>
      <w:r>
        <w:t xml:space="preserve">paths and evaluator outputs. This documents the measured stability of the</w:t>
      </w:r>
      <w:r>
        <w:t xml:space="preserve"> </w:t>
      </w:r>
      <w:r>
        <w:t xml:space="preserve">released pair of environments; it does not guarantee bitwise identity for</w:t>
      </w:r>
      <w:r>
        <w:t xml:space="preserve"> </w:t>
      </w:r>
      <w:r>
        <w:t xml:space="preserve">arbitrary BLAS, compiler or library versions.</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2.97–4.26 and GeoFM-LDN 3.22–4.34.</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3.</w:t>
      </w:r>
      <w:r>
        <w:t xml:space="preserve"> </w:t>
      </w: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276 historical and planning</w:t>
      </w:r>
      <w:r>
        <w:t xml:space="preserve"> </w:t>
      </w:r>
      <w:r>
        <w:t xml:space="preserve">prediction records passed the raster audit. The resulting 2031 ensemble rasters</w:t>
      </w:r>
      <w:r>
        <w:t xml:space="preserve"> </w:t>
      </w:r>
      <w:r>
        <w:t xml:space="preserve">and their dissolved cell-change footprints are shown in Fig. 5; they are</w:t>
      </w:r>
      <w:r>
        <w:t xml:space="preserve"> </w:t>
      </w:r>
      <w:r>
        <w:t xml:space="preserve">scenario-conditioned land-cover maps, not parcel boundaries or statutory zoning</w:t>
      </w:r>
      <w:r>
        <w:t xml:space="preserve"> </w:t>
      </w:r>
      <w:r>
        <w:t xml:space="preserve">maps.</w:t>
      </w:r>
    </w:p>
    <w:p>
      <w:pPr>
        <w:pStyle w:val="BodyText"/>
      </w:pPr>
      <w:r>
        <w:rPr>
          <w:b/>
          <w:bCs/>
        </w:rPr>
        <w:t xml:space="preserve">Table 2 | 2031 within-scenario planning objectives.</w:t>
      </w:r>
      <w:r>
        <w:t xml:space="preserve"> </w:t>
      </w:r>
      <w:r>
        <w:t xml:space="preserve">Values are means across</w:t>
      </w:r>
      <w:r>
        <w:t xml:space="preserve"> </w:t>
      </w:r>
      <w:r>
        <w:t xml:space="preserve">three seeds. Distances are metres, union-built component density is the number</w:t>
      </w:r>
      <w:r>
        <w:t xml:space="preserve"> </w:t>
      </w:r>
      <w:r>
        <w:t xml:space="preserve">of connected components in the 2024-built ∪ newly-built footprint per 1,000</w:t>
      </w:r>
      <w:r>
        <w:t xml:space="preserve"> </w:t>
      </w:r>
      <w:r>
        <w:t xml:space="preserve">valid cells, and ecological conversion is a descriptive fraction of new-built</w:t>
      </w:r>
      <w:r>
        <w:t xml:space="preserve"> </w:t>
      </w:r>
      <w:r>
        <w:t xml:space="preserve">cells whose origin class was woody, low vegetation or wetland. A star denotes</w:t>
      </w:r>
      <w:r>
        <w:t xml:space="preserve"> </w:t>
      </w:r>
      <w:r>
        <w:t xml:space="preserve">membership in the primary within-scenario Pareto frontier.</w:t>
      </w:r>
    </w:p>
    <w:tbl>
      <w:tblPr>
        <w:tblStyle w:val="Table"/>
        <w:tblW w:type="pct" w:w="5000"/>
        <w:tblLayout w:type="fixed"/>
        <w:tblLook w:firstRow="1" w:lastRow="0" w:firstColumn="0" w:lastColumn="0" w:noHBand="0" w:noVBand="0" w:val="0020"/>
      </w:tblPr>
      <w:tblGrid>
        <w:gridCol w:w="880"/>
        <w:gridCol w:w="880"/>
        <w:gridCol w:w="1173"/>
        <w:gridCol w:w="1173"/>
        <w:gridCol w:w="1173"/>
        <w:gridCol w:w="1173"/>
        <w:gridCol w:w="1466"/>
      </w:tblGrid>
      <w:tr>
        <w:trPr>
          <w:tblHeader w:val="on"/>
        </w:trPr>
        <w:tc>
          <w:tcPr/>
          <w:p>
            <w:pPr>
              <w:pStyle w:val="Compact"/>
            </w:pPr>
            <w:r>
              <w:t xml:space="preserve">Model</w:t>
            </w:r>
          </w:p>
        </w:tc>
        <w:tc>
          <w:tcPr/>
          <w:p>
            <w:pPr>
              <w:pStyle w:val="Compact"/>
            </w:pPr>
            <w:r>
              <w:t xml:space="preserve">Scenario</w:t>
            </w:r>
          </w:p>
        </w:tc>
        <w:tc>
          <w:tcPr/>
          <w:p>
            <w:pPr>
              <w:pStyle w:val="Compact"/>
              <w:jc w:val="right"/>
            </w:pPr>
            <w:r>
              <w:t xml:space="preserve">Major-road distance</w:t>
            </w:r>
          </w:p>
        </w:tc>
        <w:tc>
          <w:tcPr/>
          <w:p>
            <w:pPr>
              <w:pStyle w:val="Compact"/>
              <w:jc w:val="right"/>
            </w:pPr>
            <w:r>
              <w:t xml:space="preserve">Prior-built distance</w:t>
            </w:r>
          </w:p>
        </w:tc>
        <w:tc>
          <w:tcPr/>
          <w:p>
            <w:pPr>
              <w:pStyle w:val="Compact"/>
              <w:jc w:val="right"/>
            </w:pPr>
            <w:r>
              <w:t xml:space="preserve">Union-built components/1,000</w:t>
            </w:r>
          </w:p>
        </w:tc>
        <w:tc>
          <w:tcPr/>
          <w:p>
            <w:pPr>
              <w:pStyle w:val="Compact"/>
              <w:jc w:val="right"/>
            </w:pPr>
            <w:r>
              <w:t xml:space="preserve">Ecological conversion (diagnostic)</w:t>
            </w:r>
          </w:p>
        </w:tc>
        <w:tc>
          <w:tcPr/>
          <w:p>
            <w:pPr>
              <w:pStyle w:val="Compact"/>
              <w:jc w:val="center"/>
            </w:pPr>
            <w:r>
              <w:t xml:space="preserve">Frontier</w:t>
            </w:r>
          </w:p>
        </w:tc>
      </w:tr>
      <w:tr>
        <w:tc>
          <w:tcPr/>
          <w:p>
            <w:pPr>
              <w:pStyle w:val="Compact"/>
            </w:pPr>
            <w:r>
              <w:t xml:space="preserve">FLUS-style ANN–CA</w:t>
            </w:r>
          </w:p>
        </w:tc>
        <w:tc>
          <w:tcPr/>
          <w:p>
            <w:pPr>
              <w:pStyle w:val="Compact"/>
            </w:pPr>
            <w:r>
              <w:t xml:space="preserve">Moderate</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pPr>
            <w:r>
              <w:t xml:space="preserve">Geospatial Kernel</w:t>
            </w:r>
          </w:p>
        </w:tc>
        <w:tc>
          <w:tcPr/>
          <w:p>
            <w:pPr>
              <w:pStyle w:val="Compact"/>
            </w:pPr>
            <w:r>
              <w:t xml:space="preserve">Moderate</w:t>
            </w:r>
          </w:p>
        </w:tc>
        <w:tc>
          <w:tcPr/>
          <w:p>
            <w:pPr>
              <w:pStyle w:val="Compact"/>
              <w:jc w:val="right"/>
            </w:pPr>
            <w:r>
              <w:t xml:space="preserve">336.7</w:t>
            </w:r>
          </w:p>
        </w:tc>
        <w:tc>
          <w:tcPr/>
          <w:p>
            <w:pPr>
              <w:pStyle w:val="Compact"/>
              <w:jc w:val="right"/>
            </w:pPr>
            <w:r>
              <w:t xml:space="preserve">117.4</w:t>
            </w:r>
          </w:p>
        </w:tc>
        <w:tc>
          <w:tcPr/>
          <w:p>
            <w:pPr>
              <w:pStyle w:val="Compact"/>
              <w:jc w:val="right"/>
            </w:pPr>
            <w:r>
              <w:t xml:space="preserve">3.922</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Moderate</w:t>
            </w:r>
          </w:p>
        </w:tc>
        <w:tc>
          <w:tcPr/>
          <w:p>
            <w:pPr>
              <w:pStyle w:val="Compact"/>
              <w:jc w:val="right"/>
            </w:pPr>
            <w:r>
              <w:t xml:space="preserve">475.5</w:t>
            </w:r>
          </w:p>
        </w:tc>
        <w:tc>
          <w:tcPr/>
          <w:p>
            <w:pPr>
              <w:pStyle w:val="Compact"/>
              <w:jc w:val="right"/>
            </w:pPr>
            <w:r>
              <w:t xml:space="preserve">239.8</w:t>
            </w:r>
          </w:p>
        </w:tc>
        <w:tc>
          <w:tcPr/>
          <w:p>
            <w:pPr>
              <w:pStyle w:val="Compact"/>
              <w:jc w:val="right"/>
            </w:pPr>
            <w:r>
              <w:t xml:space="preserve">4.081</w:t>
            </w:r>
          </w:p>
        </w:tc>
        <w:tc>
          <w:tcPr/>
          <w:p>
            <w:pPr>
              <w:pStyle w:val="Compact"/>
              <w:jc w:val="right"/>
            </w:pPr>
            <w:r>
              <w:t xml:space="preserve">0.0000</w:t>
            </w:r>
          </w:p>
        </w:tc>
        <w:tc>
          <w:tcPr/>
          <w:p>
            <w:pPr>
              <w:pStyle w:val="Compact"/>
            </w:pPr>
          </w:p>
        </w:tc>
      </w:tr>
      <w:tr>
        <w:tc>
          <w:tcPr/>
          <w:p>
            <w:pPr>
              <w:pStyle w:val="Compact"/>
            </w:pPr>
            <w:r>
              <w:t xml:space="preserve">FLUS-style ANN–CA</w:t>
            </w:r>
          </w:p>
        </w:tc>
        <w:tc>
          <w:tcPr/>
          <w:p>
            <w:pPr>
              <w:pStyle w:val="Compact"/>
            </w:pPr>
            <w:r>
              <w:t xml:space="preserve">Green-priority</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pPr>
            <w:r>
              <w:t xml:space="preserve">Geospatial Kernel</w:t>
            </w:r>
          </w:p>
        </w:tc>
        <w:tc>
          <w:tcPr/>
          <w:p>
            <w:pPr>
              <w:pStyle w:val="Compact"/>
            </w:pPr>
            <w:r>
              <w:t xml:space="preserve">Green-priority</w:t>
            </w:r>
          </w:p>
        </w:tc>
        <w:tc>
          <w:tcPr/>
          <w:p>
            <w:pPr>
              <w:pStyle w:val="Compact"/>
              <w:jc w:val="right"/>
            </w:pPr>
            <w:r>
              <w:t xml:space="preserve">319.8</w:t>
            </w:r>
          </w:p>
        </w:tc>
        <w:tc>
          <w:tcPr/>
          <w:p>
            <w:pPr>
              <w:pStyle w:val="Compact"/>
              <w:jc w:val="right"/>
            </w:pPr>
            <w:r>
              <w:t xml:space="preserve">111.3</w:t>
            </w:r>
          </w:p>
        </w:tc>
        <w:tc>
          <w:tcPr/>
          <w:p>
            <w:pPr>
              <w:pStyle w:val="Compact"/>
              <w:jc w:val="right"/>
            </w:pPr>
            <w:r>
              <w:t xml:space="preserve">4.256</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Green-priority</w:t>
            </w:r>
          </w:p>
        </w:tc>
        <w:tc>
          <w:tcPr/>
          <w:p>
            <w:pPr>
              <w:pStyle w:val="Compact"/>
              <w:jc w:val="right"/>
            </w:pPr>
            <w:r>
              <w:t xml:space="preserve">452.2</w:t>
            </w:r>
          </w:p>
        </w:tc>
        <w:tc>
          <w:tcPr/>
          <w:p>
            <w:pPr>
              <w:pStyle w:val="Compact"/>
              <w:jc w:val="right"/>
            </w:pPr>
            <w:r>
              <w:t xml:space="preserve">222.8</w:t>
            </w:r>
          </w:p>
        </w:tc>
        <w:tc>
          <w:tcPr/>
          <w:p>
            <w:pPr>
              <w:pStyle w:val="Compact"/>
              <w:jc w:val="right"/>
            </w:pPr>
            <w:r>
              <w:t xml:space="preserve">4.340</w:t>
            </w:r>
          </w:p>
        </w:tc>
        <w:tc>
          <w:tcPr/>
          <w:p>
            <w:pPr>
              <w:pStyle w:val="Compact"/>
              <w:jc w:val="right"/>
            </w:pPr>
            <w:r>
              <w:t xml:space="preserve">0.0000</w:t>
            </w:r>
          </w:p>
        </w:tc>
        <w:tc>
          <w:tcPr/>
          <w:p>
            <w:pPr>
              <w:pStyle w:val="Compact"/>
            </w:pPr>
          </w:p>
        </w:tc>
      </w:tr>
      <w:tr>
        <w:tc>
          <w:tcPr/>
          <w:p>
            <w:pPr>
              <w:pStyle w:val="Compact"/>
            </w:pPr>
            <w:r>
              <w:t xml:space="preserve">FLUS-style ANN–CA</w:t>
            </w:r>
          </w:p>
        </w:tc>
        <w:tc>
          <w:tcPr/>
          <w:p>
            <w:pPr>
              <w:pStyle w:val="Compact"/>
            </w:pPr>
            <w:r>
              <w:t xml:space="preserve">High outward</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pPr>
            <w:r>
              <w:t xml:space="preserve">Geospatial Kernel</w:t>
            </w:r>
          </w:p>
        </w:tc>
        <w:tc>
          <w:tcPr/>
          <w:p>
            <w:pPr>
              <w:pStyle w:val="Compact"/>
            </w:pPr>
            <w:r>
              <w:t xml:space="preserve">High outward</w:t>
            </w:r>
          </w:p>
        </w:tc>
        <w:tc>
          <w:tcPr/>
          <w:p>
            <w:pPr>
              <w:pStyle w:val="Compact"/>
              <w:jc w:val="right"/>
            </w:pPr>
            <w:r>
              <w:t xml:space="preserve">362.5</w:t>
            </w:r>
          </w:p>
        </w:tc>
        <w:tc>
          <w:tcPr/>
          <w:p>
            <w:pPr>
              <w:pStyle w:val="Compact"/>
              <w:jc w:val="right"/>
            </w:pPr>
            <w:r>
              <w:t xml:space="preserve">141.7</w:t>
            </w:r>
          </w:p>
        </w:tc>
        <w:tc>
          <w:tcPr/>
          <w:p>
            <w:pPr>
              <w:pStyle w:val="Compact"/>
              <w:jc w:val="right"/>
            </w:pPr>
            <w:r>
              <w:t xml:space="preserve">2.969</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High outward</w:t>
            </w:r>
          </w:p>
        </w:tc>
        <w:tc>
          <w:tcPr/>
          <w:p>
            <w:pPr>
              <w:pStyle w:val="Compact"/>
              <w:jc w:val="right"/>
            </w:pPr>
            <w:r>
              <w:t xml:space="preserve">507.7</w:t>
            </w:r>
          </w:p>
        </w:tc>
        <w:tc>
          <w:tcPr/>
          <w:p>
            <w:pPr>
              <w:pStyle w:val="Compact"/>
              <w:jc w:val="right"/>
            </w:pPr>
            <w:r>
              <w:t xml:space="preserve">264.4</w:t>
            </w:r>
          </w:p>
        </w:tc>
        <w:tc>
          <w:tcPr/>
          <w:p>
            <w:pPr>
              <w:pStyle w:val="Compact"/>
              <w:jc w:val="right"/>
            </w:pPr>
            <w:r>
              <w:t xml:space="preserve">3.219</w:t>
            </w:r>
          </w:p>
        </w:tc>
        <w:tc>
          <w:tcPr/>
          <w:p>
            <w:pPr>
              <w:pStyle w:val="Compact"/>
              <w:jc w:val="right"/>
            </w:pPr>
            <w:r>
              <w:t xml:space="preserve">0.0000</w:t>
            </w:r>
          </w:p>
        </w:tc>
        <w:tc>
          <w:tcPr/>
          <w:p>
            <w:pPr>
              <w:pStyle w:val="Compact"/>
            </w:pPr>
          </w:p>
        </w:tc>
      </w:tr>
    </w:tbl>
    <w:bookmarkEnd w:id="23"/>
    <w:bookmarkStart w:id="24"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Figure 4A shows the proposal controls, while Fig. 4B–D reports runtime and planning controls.</w:t>
      </w:r>
    </w:p>
    <w:p>
      <w:pPr>
        <w:pStyle w:val="BodyText"/>
      </w:pPr>
      <w:r>
        <w:t xml:space="preserve">In the post-hoc neighbourhood-weight sensitivity, the mean strict FoM ranged</w:t>
      </w:r>
      <w:r>
        <w:t xml:space="preserve"> </w:t>
      </w:r>
      <w:r>
        <w:t xml:space="preserve">from 0.19598 at weight 0 to 0.19472 at weight 0.7 in 2023, and from 0.25280</w:t>
      </w:r>
      <w:r>
        <w:t xml:space="preserve"> </w:t>
      </w:r>
      <w:r>
        <w:t xml:space="preserve">at weight 0 to 0.25130 at weight 0.7 in 2024; the complete strict-evaluator</w:t>
      </w:r>
      <w:r>
        <w:t xml:space="preserve"> </w:t>
      </w:r>
      <w:r>
        <w:t xml:space="preserve">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24"/>
    <w:bookmarkStart w:id="2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bookmarkEnd w:id="25"/>
    <w:bookmarkEnd w:id="26"/>
    <w:bookmarkStart w:id="27"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noisy annual labels. The defensible contribution is that a transition proposal and a planning admission rule can be represented and inspected separately. Under the unmatched public-data pipeline, Geospatial Kernel has the largest strict transition FoM at the one-step horizon, while GeoFM-LDN has the largest value after recursive two-step rollout. The high-confidence subset shows near-zero skill for all models in 2023 and at most 0.0188 FoM in 2024, so full-grid rankings should not be interpreted as validated urban-change skill. We therefore treat the planning frontier as conditional on public proxy objectives and synthetic actions.</w:t>
      </w:r>
    </w:p>
    <w:p>
      <w:pPr>
        <w:pStyle w:val="BodyText"/>
      </w:pPr>
      <w:r>
        <w:t xml:space="preserve">The evidence remains bounded. The six classes are remote-sensing land cover, not</w:t>
      </w:r>
      <w:r>
        <w:t xml:space="preserve"> </w:t>
      </w:r>
      <w:r>
        <w:t xml:space="preserve">statutory residential, commercial or industrial land use. Dynamic World labels</w:t>
      </w:r>
      <w:r>
        <w:t xml:space="preserve"> </w:t>
      </w:r>
      <w:r>
        <w:t xml:space="preserve">show substantial annual uncertainty and apparent turnover; no independent</w:t>
      </w:r>
      <w:r>
        <w:t xml:space="preserve"> </w:t>
      </w:r>
      <w:r>
        <w:t xml:space="preserve">2023–2024 change product or observed 2025–2031 labels was available. Public</w:t>
      </w:r>
      <w:r>
        <w:t xml:space="preserve"> </w:t>
      </w:r>
      <w:r>
        <w:t xml:space="preserve">roads, wetland and protected-area layers are proxies, future drivers are held at</w:t>
      </w:r>
      <w:r>
        <w:t xml:space="preserve"> </w:t>
      </w:r>
      <w:r>
        <w:t xml:space="preserve">2024, and the green-priority action has no water-budget constraint. The FLUS-style</w:t>
      </w:r>
      <w:r>
        <w:t xml:space="preserve"> </w:t>
      </w:r>
      <w:r>
        <w:t xml:space="preserve">control remains an untraceable Apple-Silicon binary and its headline comparison</w:t>
      </w:r>
      <w:r>
        <w:t xml:space="preserve"> </w:t>
      </w:r>
      <w:r>
        <w:t xml:space="preserve">uses seven drivers; the successful 25-feature run is a one-seed diagnostic, not a</w:t>
      </w:r>
      <w:r>
        <w:t xml:space="preserve"> </w:t>
      </w:r>
      <w:r>
        <w:t xml:space="preserve">replacement for the primary baseline. 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End w:id="27"/>
    <w:bookmarkStart w:id="28"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output_audit_reproducible.json</w:t>
      </w:r>
      <w:r>
        <w:t xml:space="preserve"> </w:t>
      </w:r>
      <w:r>
        <w:t xml:space="preserve">for the current raster audit, with</w:t>
      </w:r>
      <w:r>
        <w:t xml:space="preserve"> </w:t>
      </w:r>
      <w:r>
        <w:rPr>
          <w:rStyle w:val="VerbatimChar"/>
        </w:rPr>
        <w:t xml:space="preserve">output_audit.json</w:t>
      </w:r>
      <w:r>
        <w:t xml:space="preserve"> </w:t>
      </w:r>
      <w:r>
        <w:t xml:space="preserve">retained only as legacy lineage;</w:t>
      </w:r>
    </w:p>
    <w:p>
      <w:pPr>
        <w:pStyle w:val="Compact"/>
        <w:numPr>
          <w:ilvl w:val="0"/>
          <w:numId w:val="1002"/>
        </w:numPr>
      </w:pPr>
      <w:r>
        <w:rPr>
          <w:rStyle w:val="VerbatimChar"/>
        </w:rPr>
        <w:t xml:space="preserve">data_audit.json</w:t>
      </w:r>
      <w:r>
        <w:t xml:space="preserve">,</w:t>
      </w:r>
      <w:r>
        <w:t xml:space="preserve"> </w:t>
      </w:r>
      <w:r>
        <w:rPr>
          <w:rStyle w:val="VerbatimChar"/>
        </w:rPr>
        <w:t xml:space="preserve">protocol.json</w:t>
      </w:r>
      <w:r>
        <w:t xml:space="preserve">,</w:t>
      </w:r>
      <w:r>
        <w:t xml:space="preserve"> </w:t>
      </w:r>
      <w:r>
        <w:rPr>
          <w:rStyle w:val="VerbatimChar"/>
        </w:rPr>
        <w:t xml:space="preserve">gee_input_manifest.json</w:t>
      </w:r>
      <w:r>
        <w:t xml:space="preserve"> </w:t>
      </w:r>
      <w:r>
        <w:t xml:space="preserve">and</w:t>
      </w:r>
      <w:r>
        <w:t xml:space="preserve"> </w:t>
      </w:r>
      <w:r>
        <w:rPr>
          <w:rStyle w:val="VerbatimChar"/>
        </w:rPr>
        <w:t xml:space="preserve">osm_input_manifest.json</w:t>
      </w:r>
      <w:r>
        <w:t xml:space="preserve"> </w:t>
      </w:r>
      <w:r>
        <w:t xml:space="preserve">for data provenance;</w:t>
      </w:r>
    </w:p>
    <w:p>
      <w:pPr>
        <w:pStyle w:val="Compact"/>
        <w:numPr>
          <w:ilvl w:val="0"/>
          <w:numId w:val="1002"/>
        </w:numPr>
      </w:pPr>
      <w:r>
        <w:t xml:space="preserve">The released bundle includes the aligned 2017–2024 public rasters, historical seed and ensemble prediction rasters, 2025–2031 planning seed and ensemble rasters, nine GeoPackages of dissolved change footprints, the mechanism-ablation report,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author-run Linux comparison of six historical Kernel rasters found zero categorical-cell differences and zero strict-FoM delta; this result is archived as a measured cross-platform check, not a universal bitwise-identity guarantee. No private database address, credential or client-only service is included. Authoritative Abu Dhabi land-use and independent change-validation data remain outside this study.</w:t>
      </w:r>
    </w:p>
    <w:bookmarkEnd w:id="28"/>
    <w:bookmarkStart w:id="29"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data_agent/uwm/geospatial_kernel/runtime.py</w:t>
      </w:r>
      <w:r>
        <w:t xml:space="preserve"> </w:t>
      </w:r>
      <w:r>
        <w:t xml:space="preserve">for the vendored runtime snapshot;</w:t>
      </w:r>
    </w:p>
    <w:p>
      <w:pPr>
        <w:pStyle w:val="Compact"/>
        <w:numPr>
          <w:ilvl w:val="0"/>
          <w:numId w:val="1003"/>
        </w:numPr>
      </w:pPr>
      <w:r>
        <w:rPr>
          <w:rStyle w:val="VerbatimChar"/>
        </w:rPr>
        <w:t xml:space="preserve">render_nature_figures.py</w:t>
      </w:r>
      <w:r>
        <w:t xml:space="preserve"> </w:t>
      </w:r>
      <w:r>
        <w:t xml:space="preserve">for publication artwork.</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under</w:t>
      </w:r>
      <w:r>
        <w:t xml:space="preserve"> </w:t>
      </w:r>
      <w:r>
        <w:rPr>
          <w:rStyle w:val="VerbatimChar"/>
        </w:rPr>
        <w:t xml:space="preserve">benchmarks/abu_dhabi_land_use_v1/external/</w:t>
      </w:r>
      <w:r>
        <w:t xml:space="preserve"> </w:t>
      </w:r>
      <w:r>
        <w:t xml:space="preserve">and</w:t>
      </w:r>
      <w:r>
        <w:t xml:space="preserve"> </w:t>
      </w:r>
      <w:r>
        <w:rPr>
          <w:rStyle w:val="VerbatimChar"/>
        </w:rPr>
        <w:t xml:space="preserve">artifacts/predictions/</w:t>
      </w:r>
      <w:r>
        <w:t xml:space="preserve">.</w:t>
      </w:r>
      <w:r>
        <w:t xml:space="preserve"> </w:t>
      </w:r>
      <w:r>
        <w:t xml:space="preserve">The vendored FLUS executable is a macOS arm64 binary; Linux and Windows users</w:t>
      </w:r>
      <w:r>
        <w:t xml:space="preserve"> </w:t>
      </w:r>
      <w:r>
        <w:t xml:space="preserve">can reproduce the Kernel and GeoFM-LDN tracks, but must provide a compatible</w:t>
      </w:r>
      <w:r>
        <w:t xml:space="preserve"> </w:t>
      </w:r>
      <w:r>
        <w:t xml:space="preserve">FLUS build or treat that baseline as unavailable. The repository is intended to</w:t>
      </w:r>
      <w:r>
        <w:t xml:space="preserve"> </w:t>
      </w:r>
      <w:r>
        <w:t xml:space="preserve">be public; an archival DOI and the corresponding-author e-mail should be added</w:t>
      </w:r>
      <w:r>
        <w:t xml:space="preserve"> </w:t>
      </w:r>
      <w:r>
        <w:t xml:space="preserve">to the submission metadata.</w:t>
      </w:r>
    </w:p>
    <w:bookmarkEnd w:id="29"/>
    <w:bookmarkStart w:id="30"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None.</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30"/>
    <w:bookmarkStart w:id="31"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 https://doi.org/10.1016/j.landurbplan.2021.104157</w:t>
      </w:r>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https://doi.org/10.1016/S0198-9715(01)00017-8</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 https://doi.org/10.1080/1747423X.2011.562018</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 https://doi.org/10.1007/s00267-002-2631-x</w:t>
      </w:r>
    </w:p>
    <w:p>
      <w:pPr>
        <w:pStyle w:val="BodyText"/>
      </w:pPr>
      <w:r>
        <w:t xml:space="preserve">Zanaga, D., et al. (2022). ESA WorldCover 10 m 2021 v200. Zenodo. https://doi.org/10.5281/zenodo.7254221</w:t>
      </w:r>
    </w:p>
    <w:bookmarkEnd w:id="31"/>
    <w:bookmarkStart w:id="47" w:name="figure-legends"/>
    <w:p>
      <w:pPr>
        <w:pStyle w:val="Heading2"/>
      </w:pPr>
      <w:r>
        <w:t xml:space="preserve">Figure legends</w:t>
      </w:r>
    </w:p>
    <w:p>
      <w:pPr>
        <w:pStyle w:val="FirstParagraph"/>
      </w:pPr>
      <w:r>
        <w:drawing>
          <wp:inline>
            <wp:extent cx="5334000" cy="3481042"/>
            <wp:effectExtent b="0" l="0" r="0" t="0"/>
            <wp:docPr descr="" title="" id="33" name="Picture"/>
            <a:graphic>
              <a:graphicData uri="http://schemas.openxmlformats.org/drawingml/2006/picture">
                <pic:pic>
                  <pic:nvPicPr>
                    <pic:cNvPr descr="figures/fig01_benchmark_contract.png" id="34" name="Picture"/>
                    <pic:cNvPicPr>
                      <a:picLocks noChangeArrowheads="1" noChangeAspect="1"/>
                    </pic:cNvPicPr>
                  </pic:nvPicPr>
                  <pic:blipFill>
                    <a:blip r:embed="rId32"/>
                    <a:stretch>
                      <a:fillRect/>
                    </a:stretch>
                  </pic:blipFill>
                  <pic:spPr bwMode="auto">
                    <a:xfrm>
                      <a:off x="0" y="0"/>
                      <a:ext cx="5334000" cy="3481042"/>
                    </a:xfrm>
                    <a:prstGeom prst="rect">
                      <a:avLst/>
                    </a:prstGeom>
                    <a:noFill/>
                    <a:ln w="9525">
                      <a:noFill/>
                      <a:headEnd/>
                      <a:tailEnd/>
                    </a:ln>
                  </pic:spPr>
                </pic:pic>
              </a:graphicData>
            </a:graphic>
          </wp:inline>
        </w:drawing>
      </w:r>
    </w:p>
    <w:p>
      <w:pPr>
        <w:pStyle w:val="BodyText"/>
      </w:pPr>
      <w:r>
        <w:rPr>
          <w:b/>
          <w:bCs/>
        </w:rPr>
        <w:t xml:space="preserve">Figure 1 | Benchmark and Geospatial Kernel execution contract.</w:t>
      </w:r>
      <w:r>
        <w:t xml:space="preserve"> </w:t>
      </w:r>
      <w:r>
        <w:t xml:space="preserve">Public annual land-cover, embedding, night-light, terrain and road layers are aligned to a common 100-m Abu Dhabi grid. Each model receives the same state, action and public proxy exclusions. The Geospatial Kernel exposes a learned proposal, constraint projection and state writeback. Historical, open-loop and planning tracks use one audit contract. The schematic does not imply statutory planning boundaries.</w:t>
      </w:r>
    </w:p>
    <w:p>
      <w:pPr>
        <w:pStyle w:val="BodyText"/>
      </w:pPr>
      <w:r>
        <w:drawing>
          <wp:inline>
            <wp:extent cx="5334000" cy="3703670"/>
            <wp:effectExtent b="0" l="0" r="0" t="0"/>
            <wp:docPr descr="" title="" id="36" name="Picture"/>
            <a:graphic>
              <a:graphicData uri="http://schemas.openxmlformats.org/drawingml/2006/picture">
                <pic:pic>
                  <pic:nvPicPr>
                    <pic:cNvPr descr="figures/fig02_historical_validation.png" id="37" name="Picture"/>
                    <pic:cNvPicPr>
                      <a:picLocks noChangeArrowheads="1" noChangeAspect="1"/>
                    </pic:cNvPicPr>
                  </pic:nvPicPr>
                  <pic:blipFill>
                    <a:blip r:embed="rId35"/>
                    <a:stretch>
                      <a:fillRect/>
                    </a:stretch>
                  </pic:blipFill>
                  <pic:spPr bwMode="auto">
                    <a:xfrm>
                      <a:off x="0" y="0"/>
                      <a:ext cx="5334000" cy="3703670"/>
                    </a:xfrm>
                    <a:prstGeom prst="rect">
                      <a:avLst/>
                    </a:prstGeom>
                    <a:noFill/>
                    <a:ln w="9525">
                      <a:noFill/>
                      <a:headEnd/>
                      <a:tailEnd/>
                    </a:ln>
                  </pic:spPr>
                </pic:pic>
              </a:graphicData>
            </a:graphic>
          </wp:inline>
        </w:drawing>
      </w:r>
    </w:p>
    <w:p>
      <w:pPr>
        <w:pStyle w:val="BodyText"/>
      </w:pPr>
      <w:r>
        <w:rPr>
          <w:b/>
          <w:bCs/>
        </w:rPr>
        <w:t xml:space="preserve">Figure 2 | Historical allocation skill.</w:t>
      </w:r>
      <w:r>
        <w:t xml:space="preserve"> </w:t>
      </w:r>
      <w:r>
        <w:t xml:space="preserve">Bars show the revised strict</w:t>
      </w:r>
      <w:r>
        <w:t xml:space="preserve"> </w:t>
      </w:r>
      <w:r>
        <w:t xml:space="preserve">multi-class FoM, change F1, overall accuracy and macro-F1 for the 2023 one-step</w:t>
      </w:r>
      <w:r>
        <w:t xml:space="preserve"> </w:t>
      </w:r>
      <w:r>
        <w:t xml:space="preserve">and 2024 two-step open-loop tests, with persistence and random minimum-change</w:t>
      </w:r>
      <w:r>
        <w:t xml:space="preserve"> </w:t>
      </w:r>
      <w:r>
        <w:t xml:space="preserve">controls. Error bars show population standard deviation across the three frozen</w:t>
      </w:r>
      <w:r>
        <w:t xml:space="preserve"> </w:t>
      </w:r>
      <w:r>
        <w:t xml:space="preserve">seeds; paired spatial-block intervals are reported in the machine-readable</w:t>
      </w:r>
      <w:r>
        <w:t xml:space="preserve"> </w:t>
      </w:r>
      <w:r>
        <w:t xml:space="preserve">comparison report.</w:t>
      </w:r>
    </w:p>
    <w:p>
      <w:pPr>
        <w:pStyle w:val="BodyText"/>
      </w:pPr>
      <w:r>
        <w:drawing>
          <wp:inline>
            <wp:extent cx="5334000" cy="3550480"/>
            <wp:effectExtent b="0" l="0" r="0" t="0"/>
            <wp:docPr descr="" title="" id="39" name="Picture"/>
            <a:graphic>
              <a:graphicData uri="http://schemas.openxmlformats.org/drawingml/2006/picture">
                <pic:pic>
                  <pic:nvPicPr>
                    <pic:cNvPr descr="figures/fig03_planning_objectives.png" id="40" name="Picture"/>
                    <pic:cNvPicPr>
                      <a:picLocks noChangeArrowheads="1" noChangeAspect="1"/>
                    </pic:cNvPicPr>
                  </pic:nvPicPr>
                  <pic:blipFill>
                    <a:blip r:embed="rId38"/>
                    <a:stretch>
                      <a:fillRect/>
                    </a:stretch>
                  </pic:blipFill>
                  <pic:spPr bwMode="auto">
                    <a:xfrm>
                      <a:off x="0" y="0"/>
                      <a:ext cx="5334000" cy="3550480"/>
                    </a:xfrm>
                    <a:prstGeom prst="rect">
                      <a:avLst/>
                    </a:prstGeom>
                    <a:noFill/>
                    <a:ln w="9525">
                      <a:noFill/>
                      <a:headEnd/>
                      <a:tailEnd/>
                    </a:ln>
                  </pic:spPr>
                </pic:pic>
              </a:graphicData>
            </a:graphic>
          </wp:inline>
        </w:drawing>
      </w:r>
    </w:p>
    <w:p>
      <w:pPr>
        <w:pStyle w:val="BodyText"/>
      </w:pPr>
      <w:r>
        <w:rPr>
          <w:b/>
          <w:bCs/>
        </w:rPr>
        <w:t xml:space="preserve">Figure 3 | Conditional planning objectives and morphology diagnostics.</w:t>
      </w:r>
      <w:r>
        <w:t xml:space="preserve"> </w:t>
      </w:r>
      <w:r>
        <w:t xml:space="preserve">The</w:t>
      </w:r>
      <w:r>
        <w:t xml:space="preserve"> </w:t>
      </w:r>
      <w:r>
        <w:t xml:space="preserve">2031 outcomes compare the three models under moderate-growth, green-priority-</w:t>
      </w:r>
      <w:r>
        <w:t xml:space="preserve"> </w:t>
      </w:r>
      <w:r>
        <w:t xml:space="preserve">growth and high-outward-growth actions. Panels A–C show the release objectives:</w:t>
      </w:r>
      <w:r>
        <w:t xml:space="preserve"> </w:t>
      </w:r>
      <w:r>
        <w:t xml:space="preserve">distance to major roads, distance to prior built cells and components in the</w:t>
      </w:r>
      <w:r>
        <w:t xml:space="preserve"> </w:t>
      </w:r>
      <w:r>
        <w:t xml:space="preserve">2024-built ∪ newly-built footprint per 1,000 valid cells. Panel D shows</w:t>
      </w:r>
      <w:r>
        <w:t xml:space="preserve"> </w:t>
      </w:r>
      <w:r>
        <w:t xml:space="preserve">ecological conversion as a descriptive diagnostic; panel E shows vegetation gain</w:t>
      </w:r>
      <w:r>
        <w:t xml:space="preserve"> </w:t>
      </w:r>
      <w:r>
        <w:t xml:space="preserve">as a scenario-input diagnostic; panel F shows the 500-m leapfrog rate. Stars mark</w:t>
      </w:r>
      <w:r>
        <w:t xml:space="preserve"> </w:t>
      </w:r>
      <w:r>
        <w:t xml:space="preserve">non-dominated candidates within each scenario; bars show means ± population SD</w:t>
      </w:r>
      <w:r>
        <w:t xml:space="preserve"> </w:t>
      </w:r>
      <w:r>
        <w:t xml:space="preserve">across three seeds.</w:t>
      </w:r>
    </w:p>
    <w:p>
      <w:pPr>
        <w:pStyle w:val="BodyText"/>
      </w:pPr>
      <w:r>
        <w:drawing>
          <wp:inline>
            <wp:extent cx="5334000" cy="3703670"/>
            <wp:effectExtent b="0" l="0" r="0" t="0"/>
            <wp:docPr descr="" title="" id="42" name="Picture"/>
            <a:graphic>
              <a:graphicData uri="http://schemas.openxmlformats.org/drawingml/2006/picture">
                <pic:pic>
                  <pic:nvPicPr>
                    <pic:cNvPr descr="figures/fig04_mechanism_ablation.png" id="43" name="Picture"/>
                    <pic:cNvPicPr>
                      <a:picLocks noChangeArrowheads="1" noChangeAspect="1"/>
                    </pic:cNvPicPr>
                  </pic:nvPicPr>
                  <pic:blipFill>
                    <a:blip r:embed="rId41"/>
                    <a:stretch>
                      <a:fillRect/>
                    </a:stretch>
                  </pic:blipFill>
                  <pic:spPr bwMode="auto">
                    <a:xfrm>
                      <a:off x="0" y="0"/>
                      <a:ext cx="5334000" cy="3703670"/>
                    </a:xfrm>
                    <a:prstGeom prst="rect">
                      <a:avLst/>
                    </a:prstGeom>
                    <a:noFill/>
                    <a:ln w="9525">
                      <a:noFill/>
                      <a:headEnd/>
                      <a:tailEnd/>
                    </a:ln>
                  </pic:spPr>
                </pic:pic>
              </a:graphicData>
            </a:graphic>
          </wp:inline>
        </w:drawing>
      </w:r>
    </w:p>
    <w:p>
      <w:pPr>
        <w:pStyle w:val="BodyText"/>
      </w:pPr>
      <w:r>
        <w:rPr>
          <w:b/>
          <w:bCs/>
        </w:rPr>
        <w:t xml:space="preserve">Figure 4 | Mechanism controls.</w:t>
      </w:r>
      <w:r>
        <w:t xml:space="preserve"> </w:t>
      </w:r>
      <w:r>
        <w:t xml:space="preserve">Proposal, allocator, action, constraint and</w:t>
      </w:r>
      <w:r>
        <w:t xml:space="preserve"> </w:t>
      </w:r>
      <w:r>
        <w:t xml:space="preserve">writeback controls are compared under the same public-data protocol. Deleting</w:t>
      </w:r>
      <w:r>
        <w:t xml:space="preserve"> </w:t>
      </w:r>
      <w:r>
        <w:t xml:space="preserve">the action lowers historical strict FoM, whereas deleting the hard constraint</w:t>
      </w:r>
      <w:r>
        <w:t xml:space="preserve"> </w:t>
      </w:r>
      <w:r>
        <w:t xml:space="preserve">raises agreement with noisy labels while violating the planning contract.</w:t>
      </w:r>
      <w:r>
        <w:t xml:space="preserve"> </w:t>
      </w:r>
      <w:r>
        <w:t xml:space="preserve">These are diagnostic ablations, not causal policy experiments.</w:t>
      </w:r>
    </w:p>
    <w:p>
      <w:pPr>
        <w:pStyle w:val="BodyText"/>
      </w:pPr>
      <w:r>
        <w:drawing>
          <wp:inline>
            <wp:extent cx="5334000" cy="5443359"/>
            <wp:effectExtent b="0" l="0" r="0" t="0"/>
            <wp:docPr descr="" title="" id="45" name="Picture"/>
            <a:graphic>
              <a:graphicData uri="http://schemas.openxmlformats.org/drawingml/2006/picture">
                <pic:pic>
                  <pic:nvPicPr>
                    <pic:cNvPr descr="figures/fig05_planning_maps_2031.png" id="46" name="Picture"/>
                    <pic:cNvPicPr>
                      <a:picLocks noChangeArrowheads="1" noChangeAspect="1"/>
                    </pic:cNvPicPr>
                  </pic:nvPicPr>
                  <pic:blipFill>
                    <a:blip r:embed="rId44"/>
                    <a:stretch>
                      <a:fillRect/>
                    </a:stretch>
                  </pic:blipFill>
                  <pic:spPr bwMode="auto">
                    <a:xfrm>
                      <a:off x="0" y="0"/>
                      <a:ext cx="5334000" cy="5443359"/>
                    </a:xfrm>
                    <a:prstGeom prst="rect">
                      <a:avLst/>
                    </a:prstGeom>
                    <a:noFill/>
                    <a:ln w="9525">
                      <a:noFill/>
                      <a:headEnd/>
                      <a:tailEnd/>
                    </a:ln>
                  </pic:spPr>
                </pic:pic>
              </a:graphicData>
            </a:graphic>
          </wp:inline>
        </w:drawing>
      </w:r>
    </w:p>
    <w:p>
      <w:pPr>
        <w:pStyle w:val="BodyText"/>
      </w:pPr>
      <w:r>
        <w:rPr>
          <w:b/>
          <w:bCs/>
        </w:rPr>
        <w:t xml:space="preserve">Figure 5 | 2031 spatial footprints.</w:t>
      </w:r>
      <w:r>
        <w:t xml:space="preserve"> </w:t>
      </w:r>
      <w:r>
        <w:t xml:space="preserve">Each panel is a 100-m ensemble raster</w:t>
      </w:r>
      <w:r>
        <w:t xml:space="preserve"> </w:t>
      </w:r>
      <w:r>
        <w:t xml:space="preserve">relative to the observed 2024 state. Overlays identify newly built, newly low-</w:t>
      </w:r>
      <w:r>
        <w:t xml:space="preserve"> </w:t>
      </w:r>
      <w:r>
        <w:t xml:space="preserve">vegetated and retired-built cells; they are raster-cell change footprints, not</w:t>
      </w:r>
      <w:r>
        <w:t xml:space="preserve"> </w:t>
      </w:r>
      <w:r>
        <w:t xml:space="preserve">cadastral parcels.</w:t>
      </w:r>
    </w:p>
    <w:bookmarkEnd w:id="47"/>
    <w:bookmarkStart w:id="48"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Raster and vector delivery audit, hashes and layer counts.</w:t>
      </w:r>
    </w:p>
    <w:p>
      <w:pPr>
        <w:pStyle w:val="Compact"/>
        <w:numPr>
          <w:ilvl w:val="0"/>
          <w:numId w:val="1004"/>
        </w:numPr>
      </w:pPr>
      <w:r>
        <w:rPr>
          <w:b/>
          <w:bCs/>
        </w:rPr>
        <w:t xml:space="preserve">Supplementary Figure S1:</w:t>
      </w:r>
      <w:r>
        <w:t xml:space="preserve"> </w:t>
      </w:r>
      <w:r>
        <w:t xml:space="preserve">Dynamic World confidence and high-confidence change sensitivity.</w:t>
      </w:r>
    </w:p>
    <w:p>
      <w:pPr>
        <w:pStyle w:val="Compact"/>
        <w:numPr>
          <w:ilvl w:val="0"/>
          <w:numId w:val="1004"/>
        </w:numPr>
      </w:pPr>
      <w:r>
        <w:rPr>
          <w:b/>
          <w:bCs/>
        </w:rPr>
        <w:t xml:space="preserve">Supplementary Figure S2:</w:t>
      </w:r>
      <w:r>
        <w:t xml:space="preserve"> </w:t>
      </w:r>
      <w:r>
        <w:t xml:space="preserve">Historical maps and change-error maps for 2024.</w:t>
      </w:r>
    </w:p>
    <w:p>
      <w:pPr>
        <w:pStyle w:val="Compact"/>
        <w:numPr>
          <w:ilvl w:val="0"/>
          <w:numId w:val="1004"/>
        </w:numPr>
      </w:pPr>
      <w:r>
        <w:rPr>
          <w:b/>
          <w:bCs/>
        </w:rPr>
        <w:t xml:space="preserve">Supplementary Figure S3:</w:t>
      </w:r>
      <w:r>
        <w:t xml:space="preserve"> </w:t>
      </w:r>
      <w:r>
        <w:t xml:space="preserve">Driver layers and experiment design in English.</w:t>
      </w:r>
    </w:p>
    <w:p>
      <w:r>
        <w:pict>
          <v:rect style="width:0;height:1.5pt" o:hralign="center" o:hrstd="t" o:hr="t"/>
        </w:pic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2026-09-06T09:18:57Z</dcterms:created>
  <dcterms:modified xsi:type="dcterms:W3CDTF">2026-09-06T09:18:57Z</dcterms:modified>
</cp:coreProperties>
</file>

<file path=docProps/custom.xml><?xml version="1.0" encoding="utf-8"?>
<Properties xmlns="http://schemas.openxmlformats.org/officeDocument/2006/custom-properties" xmlns:vt="http://schemas.openxmlformats.org/officeDocument/2006/docPropsVTypes"/>
</file>