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29.png" ContentType="image/png"/>
  <Override PartName="/word/media/rId34.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Auditing constrained geospatial allocation under noisy annual land-cover labels</w:t>
      </w:r>
    </w:p>
    <w:p>
      <w:pPr>
        <w:pStyle w:val="Author"/>
      </w:pPr>
      <w:r>
        <w:t xml:space="preserve">Ning Zhou</w:t>
      </w:r>
    </w:p>
    <w:bookmarkStart w:id="9" w:name="abstract"/>
    <w:p>
      <w:pPr>
        <w:pStyle w:val="Heading2"/>
      </w:pPr>
      <w:r>
        <w:t xml:space="preserve">Abstract</w:t>
      </w:r>
    </w:p>
    <w:p>
      <w:pPr>
        <w:pStyle w:val="FirstParagraph"/>
      </w:pPr>
      <w:r>
        <w:t xml:space="preserve">Urban land-change models are often evaluated against annual labels whose reliability is not spatially uniform. We present an auditable protocol for testing constrained spatial allocation under that uncertainty, using Geospatial Kernel, the algorithmic core of a Geospatial World Model, as the focal execution layer. The Abu Dhabi public-data benchmark uses annual 100-m land-cover products from 2017–2024, three computational seeds, destination-correct multi-class change Figure of Merit (FoM), spatial-block bootstrap contrasts and explicit state–action–constraint traces. In a clean run of the fully resolved environment, strict FoM was 0.1961 for Geospatial Kernel, 0.1256 for the GeoSOS-derived FLUS-style ANN–CA console (author-modified build) and 0.1619 for GeoFM-LDN in 2023; after recursive two-step rollout in 2024 the values were 0.2529, 0.1782 and 0.2708, respectively. A dual-year confidence threshold retained only 25 of 4,500 observed changes in 2023 and 56 of 8,464 in 2024; all three FoM values were 0.000 in 2023 and the 2024 maximum was 0.0188. These filtered scores are label-quality and selection-effect diagnostics, not model-skill tests. The planning track is therefore reported as scenario stress testing, not official forecasting. The released public bundle, source, checkpoints, rasters, vector footprints and audit manifests support locked-environment reproduction; cross-stack variation is quantified rather than assumed absent. The protocol’s principal contribution is an inspectable proposal–projection–writeback boundary for separating model behaviour from action and constraint semantics.</w:t>
      </w:r>
    </w:p>
    <w:bookmarkEnd w:id="9"/>
    <w:bookmarkStart w:id="10" w:name="highlights"/>
    <w:p>
      <w:pPr>
        <w:pStyle w:val="Heading2"/>
      </w:pPr>
      <w:r>
        <w:t xml:space="preserve">Highlights</w:t>
      </w:r>
    </w:p>
    <w:p>
      <w:pPr>
        <w:pStyle w:val="Compact"/>
        <w:numPr>
          <w:ilvl w:val="0"/>
          <w:numId w:val="1001"/>
        </w:numPr>
      </w:pPr>
      <w:r>
        <w:t xml:space="preserve">Geospatial Kernel separates transition proposals from constrained admission.</w:t>
      </w:r>
    </w:p>
    <w:p>
      <w:pPr>
        <w:pStyle w:val="Compact"/>
        <w:numPr>
          <w:ilvl w:val="0"/>
          <w:numId w:val="1001"/>
        </w:numPr>
      </w:pPr>
      <w:r>
        <w:t xml:space="preserve">Typed state–action–constraint traces make recursive updates auditable.</w:t>
      </w:r>
    </w:p>
    <w:p>
      <w:pPr>
        <w:pStyle w:val="Compact"/>
        <w:numPr>
          <w:ilvl w:val="0"/>
          <w:numId w:val="1001"/>
        </w:numPr>
      </w:pPr>
      <w:r>
        <w:t xml:space="preserve">Spatial-block uncertainty and paired model contrasts are reported explicitly.</w:t>
      </w:r>
    </w:p>
    <w:p>
      <w:pPr>
        <w:pStyle w:val="Compact"/>
        <w:numPr>
          <w:ilvl w:val="0"/>
          <w:numId w:val="1001"/>
        </w:numPr>
      </w:pPr>
      <w:r>
        <w:t xml:space="preserve">Confidence filters expose label selection effects; they are not validation tests.</w:t>
      </w:r>
    </w:p>
    <w:p>
      <w:pPr>
        <w:pStyle w:val="Compact"/>
        <w:numPr>
          <w:ilvl w:val="0"/>
          <w:numId w:val="1001"/>
        </w:numPr>
      </w:pPr>
      <w:r>
        <w:t xml:space="preserve">Planning outputs are scenario stress tests, not statutory Abu Dhabi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common valid mask, annual class-count actions, hard exclusions and evaluator. The historical track uses observed target counts to isolate spatial allocation skill from demand error. The planning track starts from the observed 2024 state and applies three planner-supplied actions: moderate growth, green-priority growth and high outward growth. Abu Dhabi Plan 2030 provides an institutional planning context for discussing urban structure, but the numerical actions in this benchmark are not calibrated to that plan or to an official population forecast (Abu Dhabi Urban Planning Council, 2007). We ask four questions: whether the Kernel execution contract is auditable, whether its allocation skill is competitive, whether it produces feasible and spatially distinct allocations and which conclusions survive label and parameter sensitivity.</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reports confidence-filter retention and selection effects rather than treating a high-confidence subset as a skill-validation set.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also requires every model/year/seed record to report the number of</w:t>
      </w:r>
      <w:r>
        <w:t xml:space="preserve"> </w:t>
      </w:r>
      <w:r>
        <w:t xml:space="preserve">predicted changed cells. A record with</w:t>
      </w:r>
      <w:r>
        <w:t xml:space="preserve"> </w:t>
      </w:r>
      <w:r>
        <w:rPr>
          <w:rStyle w:val="VerbatimChar"/>
        </w:rPr>
        <w:t xml:space="preserve">predicted_change_pixels == 0</w:t>
      </w:r>
      <w:r>
        <w:t xml:space="preserve"> </w:t>
      </w:r>
      <w:r>
        <w:t xml:space="preserve">is marked</w:t>
      </w:r>
      <w:r>
        <w:t xml:space="preserve"> </w:t>
      </w:r>
      <w:r>
        <w:t xml:space="preserve">as a degenerate output and reviewed alongside structural-zero metrics; it cannot</w:t>
      </w:r>
      <w:r>
        <w:t xml:space="preserve"> </w:t>
      </w:r>
      <w:r>
        <w:t xml:space="preserve">by itself be interpreted as model superiority or real land-cover stability.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 A structural-zero metric is flagged operationally</w:t>
      </w:r>
      <w:r>
        <w:t xml:space="preserve"> </w:t>
      </w:r>
      <w:r>
        <w:t xml:space="preserve">when its denominator is zero for every candidate under the declared action and</w:t>
      </w:r>
      <w:r>
        <w:t xml:space="preserve"> </w:t>
      </w:r>
      <w:r>
        <w:t xml:space="preserve">constraint rules; for exact-count allocation, a conversion rate is also a</w:t>
      </w:r>
      <w:r>
        <w:t xml:space="preserve"> </w:t>
      </w:r>
      <w:r>
        <w:t xml:space="preserve">structural zero when the protected/source rule makes the relevant source class</w:t>
      </w:r>
      <w:r>
        <w:t xml:space="preserve"> </w:t>
      </w:r>
      <w:r>
        <w:t xml:space="preserve">monotonically non-decreasing, so no eligible source cells can contribute to that</w:t>
      </w:r>
      <w:r>
        <w:t xml:space="preserve"> </w:t>
      </w:r>
      <w:r>
        <w:t xml:space="preserve">transition. Such a metric is reported descriptively and excluded from Pareto</w:t>
      </w:r>
      <w:r>
        <w:t xml:space="preserve"> </w:t>
      </w:r>
      <w:r>
        <w:t xml:space="preserve">selection.</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observed sequence contains annual states for 2017–2024. Models were fit using the four transitions 2017→2018, 2018→2019, 2019→2020 and 2020→2021. A 2021→2022 transition was used for validation during model development. The historical test starts from 2022 and evaluates 2023 and 2024 in an open-loop rollout without observed-state writeback. The planning test starts from the observed 2024 state and recursively generates 2025–2031 under each scenario action.</w:t>
      </w:r>
    </w:p>
    <w:bookmarkEnd w:id="14"/>
    <w:bookmarkStart w:id="15" w:name="public-data-and-class-semantics"/>
    <w:p>
      <w:pPr>
        <w:pStyle w:val="Heading3"/>
      </w:pPr>
      <w:r>
        <w:t xml:space="preserve">Public data and class semantics</w:t>
      </w:r>
    </w:p>
    <w:p>
      <w:pPr>
        <w:pStyle w:val="FirstParagraph"/>
      </w:pPr>
      <w:r>
        <w:t xml:space="preserve">Dynamic World V1 provides annual scene-argmax labels and mean top-class probabilities (Brown et al., 2022). The nine Dynamic World labels were crosswalked to six canonical classes: water (source 0), woody vegetation (1), low vegetation (2, 4 and 5), wetland (3), built (6) and bare (7). Source class 8 was excluded. The resulting label is explicitly treated as land cover. No residential, commercial or industrial category is inferred from the raster labels.</w:t>
      </w:r>
    </w:p>
    <w:p>
      <w:pPr>
        <w:pStyle w:val="BodyText"/>
      </w:pPr>
      <w:r>
        <w:t xml:space="preserve">Annual 64-dimensional AlphaEarth embeddings were spatially averaged to the canonical grid and locally L2-normalized. Monthly VIIRS night-time-light radiance was averaged by year. Copernicus DEM supplied elevation and a finite-difference slope derivative. OpenStreetMap road geometries were rasterized into distance-to-road and distance-to-major-road surfaces. ESA WorldCover 2021 supplied public water and wetland/mangrove constraint proxies (Zanaga et al., 2022). All dynamic and static layers were checked for exact CRS, transform, width and height agreement.</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A histogram gradient-boosting classifier estimates the six-class probability vector.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confidence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where</w:t>
      </w:r>
      <w:r>
        <w:t xml:space="preserve"> </w:t>
      </w:r>
      <m:oMath>
        <m:r>
          <m:t>r</m:t>
        </m:r>
      </m:oMath>
      <w:r>
        <w:t xml:space="preserve"> </w:t>
      </w:r>
      <w:r>
        <w:t xml:space="preserve">is the Dynamic World mean top probability. The target years 2023 and 2024 are not used during fitting or model selection. Across the three seeds, each fitted model used 71,892–72,202 pixel rows and all six classes.</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GeoSOS-derived FLUS-style ANN–CA console (author-modified build;</w:t>
      </w:r>
      <w:r>
        <w:t xml:space="preserve"> </w:t>
      </w:r>
      <w:r>
        <w:rPr>
          <w:rStyle w:val="VerbatimChar"/>
        </w:rPr>
        <w:t xml:space="preserve">paper-benchmark-flus-v1.1</w:t>
      </w:r>
      <w:r>
        <w:t xml:space="preserv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algorithmic base is traceable to the GeoSOS team’s public FLUS source release (Liu et al., 2017; geosimulation.cn); the accompanying source repository</w:t>
      </w:r>
      <w:r>
        <w:t xml:space="preserve"> </w:t>
      </w:r>
      <w:r>
        <w:rPr>
          <w:rStyle w:val="VerbatimChar"/>
        </w:rPr>
        <w:t xml:space="preserve">FLUS_console_crossplatform</w:t>
      </w:r>
      <w:r>
        <w:t xml:space="preserve"> </w:t>
      </w:r>
      <w:r>
        <w:t xml:space="preserve">at commit</w:t>
      </w:r>
      <w:r>
        <w:t xml:space="preserve"> </w:t>
      </w:r>
      <w:r>
        <w:rPr>
          <w:rStyle w:val="VerbatimChar"/>
        </w:rPr>
        <w:t xml:space="preserve">47e65b3</w:t>
      </w:r>
      <w:r>
        <w:t xml:space="preserve"> </w:t>
      </w:r>
      <w:r>
        <w:t xml:space="preserve">contains the author modifications used for this paper. Those modifications add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deterministic seeding for both ANN sampling and CA roulette draws, so the build is not the unmodified upstream executable. Version v1.1 changes only failure handling for invalid input reads; valid-input algorithmic paths and benchmark rasters are unchanged from v1. A 25-feature Kernel-matched input was then executed with absolute paths for seeds 31, 47 and 73 and is reported only as a platform-sensitive diagnostic. It shares the Kernel feature family, but not the learning target or projection semantics: the FLUS ANN estimates same-year label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whereas the Kernel proposal is trained to estimate a next-state transition</w:t>
      </w:r>
      <w: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t xml:space="preserve"> </w:t>
      </w:r>
      <w: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25-feature run collapsed to zero change for macOS seeds 47 and 73 and for all three independent external Windows x86_64 verification runs; the remaining macOS seed-31 run is not used as a valid estimator. The external evidence is identified in Supplementary Table S3; its source rasters are not locally archived. The 19-feature mode produced changes for all three macOS seeds but underfilled the observed 4,500 and 8,464 changed cells in 2023 and 2024. Both modes are therefore diagnostic-only.</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Fixed checkpoints do not remove the decoding runtime boundary: categorical output still depends on the locked Torch and scikit-learn stack. Same-stack reproduction is the declared reference; no independent cross-stack GeoFM-LDN raster comparison is claimed, and changes between pre-lock and locked-environment outputs are not attributed to CPU architecture or to one library.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w:t>
      </w:r>
      <w:r>
        <w:t xml:space="preserve"> </w:t>
      </w:r>
      <w:r>
        <w:rPr>
          <w:rStyle w:val="VerbatimChar"/>
        </w:rPr>
        <w:t xml:space="preserve">planning_scenarios_public_2025_2031.json</w:t>
      </w:r>
      <w:r>
        <w:t xml:space="preserve"> </w:t>
      </w:r>
      <w:r>
        <w:t xml:space="preserve">manifest; the legacy</w:t>
      </w:r>
      <w:r>
        <w:t xml:space="preserve"> </w:t>
      </w:r>
      <w:r>
        <w:rPr>
          <w:rStyle w:val="VerbatimChar"/>
        </w:rPr>
        <w:t xml:space="preserve">compact</w:t>
      </w:r>
      <w:r>
        <w:t xml:space="preserve"> </w:t>
      </w:r>
      <w:r>
        <w:t xml:space="preserve">path identifier is retained only for artifact compatibility. Each action supplies feasible class totals for 2025–2031. The 2031 totals are an explicit extension of the previous annual difference and are not derived from an official population, housing or infrastructure forecast. Future exogenous rasters are held at their 2024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primary Pareto comparison is within each scenario, contrasting the three models under the same action; a global nine-candidate frontier is retained only as lineage. Sensitivity variants remove or add objective dimensions on the same released rasters. The objective set evolved through four review-driven revisions and was not preregistered: v1 mixed feasibility, action and outcome terms; v2 was not released; v3 used structurally problematic outcomes; and v4 still included scenario-supplied vegetation gain and all-built fragmentation. The current release is v6: road access, prior-built distance and union-built component density. Ecological conversion is reported as a diagnostic rather than a Pareto objective because it is structurally zero for the exact-count Kernel and GeoFM-LDN allocations. We treat v6 as a release objective set rather than a prespecified planning preference, and treat its sensitivity results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2024 raster are extracted as changed 100-m cells and dissolved into GeoPackage layers. The public delivery manifest covers 45 ensemble rasters for 2027–2031 and nine vector packages. The audit script reports</w:t>
      </w:r>
      <w:r>
        <w:t xml:space="preserve"> </w:t>
      </w:r>
      <w:r>
        <w:rPr>
          <w:rStyle w:val="VerbatimChar"/>
        </w:rPr>
        <w:t xml:space="preserve">INCOMPLETE_INPUTS</w:t>
      </w:r>
      <w:r>
        <w:t xml:space="preserve"> </w:t>
      </w:r>
      <w:r>
        <w:t xml:space="preserve">or</w:t>
      </w:r>
      <w:r>
        <w:t xml:space="preserve"> </w:t>
      </w:r>
      <w:r>
        <w:rPr>
          <w:rStyle w:val="VerbatimChar"/>
        </w:rPr>
        <w:t xml:space="preserve">FAIL</w:t>
      </w:r>
      <w:r>
        <w:t xml:space="preserve"> </w:t>
      </w:r>
      <w:r>
        <w:t xml:space="preserve">when source rasters, reports or vectors are absent; with the released public bundle, the input audit passed all alignment gates (with a Dynamic World label-noise warning) and the output audit passed 276 historical and planning predictions with zero failures. The vector layers preserve raster-cell geometry and should not be interpreted as cadastral parcels.</w:t>
      </w:r>
    </w:p>
    <w:bookmarkEnd w:id="20"/>
    <w:bookmarkEnd w:id="21"/>
    <w:bookmarkStart w:id="42" w:name="results"/>
    <w:p>
      <w:pPr>
        <w:pStyle w:val="Heading2"/>
      </w:pPr>
      <w:r>
        <w:t xml:space="preserve">Results</w:t>
      </w:r>
    </w:p>
    <w:bookmarkStart w:id="25"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After the common coverage and alignment checks, 79,726 cells were used for scoring. Each cell represents 1 ha. Annual Dynamic World observations from 2017 to 2024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feature-space diagnostic only, because it still learns same-year suitability rather than next-state transitions and does not use the Kernel projection implementation. Across six platform–seed runs, five produced zero-change outputs through current-class identity leakage. The archived FLUS console is a Mach-O arm64 executable rebuilt from the public GeoSOS source base with the author-modified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patch; its exact source is archived at</w:t>
      </w:r>
      <w:r>
        <w:t xml:space="preserve"> </w:t>
      </w:r>
      <w:r>
        <w:rPr>
          <w:rStyle w:val="VerbatimChar"/>
        </w:rPr>
        <w:t xml:space="preserve">FLUS_console_crossplatform</w:t>
      </w:r>
      <w:r>
        <w:t xml:space="preserve"> </w:t>
      </w:r>
      <w:r>
        <w:t xml:space="preserve">commit</w:t>
      </w:r>
      <w:r>
        <w:t xml:space="preserve"> </w:t>
      </w:r>
      <w:r>
        <w:rPr>
          <w:rStyle w:val="VerbatimChar"/>
        </w:rPr>
        <w:t xml:space="preserve">deb0a54</w:t>
      </w:r>
      <w:r>
        <w:t xml:space="preserve">. It is not asserted to be bitwise equivalent to an unmodified upstream build. All headline and diagnostic runs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p>
      <w:pPr>
        <w:pStyle w:val="CaptionedFigure"/>
      </w:pPr>
      <w:r>
        <w:drawing>
          <wp:inline>
            <wp:extent cx="5334000" cy="3546609"/>
            <wp:effectExtent b="0" l="0" r="0" t="0"/>
            <wp:docPr descr="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 title="" id="23" name="Picture"/>
            <a:graphic>
              <a:graphicData uri="http://schemas.openxmlformats.org/drawingml/2006/picture">
                <pic:pic>
                  <pic:nvPicPr>
                    <pic:cNvPr descr="figures/fig01_benchmark_contract.png" id="24" name="Picture"/>
                    <pic:cNvPicPr>
                      <a:picLocks noChangeArrowheads="1" noChangeAspect="1"/>
                    </pic:cNvPicPr>
                  </pic:nvPicPr>
                  <pic:blipFill>
                    <a:blip r:embed="rId22"/>
                    <a:stretch>
                      <a:fillRect/>
                    </a:stretch>
                  </pic:blipFill>
                  <pic:spPr bwMode="auto">
                    <a:xfrm>
                      <a:off x="0" y="0"/>
                      <a:ext cx="5334000" cy="3546609"/>
                    </a:xfrm>
                    <a:prstGeom prst="rect">
                      <a:avLst/>
                    </a:prstGeom>
                    <a:noFill/>
                    <a:ln w="9525">
                      <a:noFill/>
                      <a:headEnd/>
                      <a:tailEnd/>
                    </a:ln>
                  </pic:spPr>
                </pic:pic>
              </a:graphicData>
            </a:graphic>
          </wp:inline>
        </w:drawing>
      </w:r>
    </w:p>
    <w:p>
      <w:pPr>
        <w:pStyle w:val="ImageCaption"/>
      </w:pPr>
      <w:r>
        <w:t xml:space="preserve">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w:t>
      </w:r>
    </w:p>
    <w:bookmarkEnd w:id="25"/>
    <w:bookmarkStart w:id="32" w:name="historical-and-planning-results"/>
    <w:p>
      <w:pPr>
        <w:pStyle w:val="Heading3"/>
      </w:pPr>
      <w:r>
        <w:t xml:space="preserve">Historical and planning results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0.1961</w:t>
      </w:r>
      <w:r>
        <w:t xml:space="preserve"> </w:t>
      </w:r>
      <w:r>
        <w:t xml:space="preserve">and 0.1619 for the FLUS-style console, Geospatial Kernel and GeoFM-LDN in 2023,</w:t>
      </w:r>
      <w:r>
        <w:t xml:space="preserve"> </w:t>
      </w:r>
      <w:r>
        <w:t xml:space="preserve">and 0.1782, 0.2529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Historical strict destination-change FoM.</w:t>
      </w:r>
      <w:r>
        <w:t xml:space="preserve"> </w:t>
      </w:r>
      <w:r>
        <w:t xml:space="preserve">Values are means across</w:t>
      </w:r>
      <w:r>
        <w:t xml:space="preserve"> </w:t>
      </w:r>
      <w:r>
        <w:t xml:space="preserve">three frozen computational seeds. The 25-feature FLUS run is excluded because</w:t>
      </w:r>
      <w:r>
        <w:t xml:space="preserve"> </w:t>
      </w:r>
      <w:r>
        <w:t xml:space="preserve">it is not a comparable estimator: five of six platform–seed runs collapsed to</w:t>
      </w:r>
      <w:r>
        <w:t xml:space="preserve"> </w:t>
      </w:r>
      <w:r>
        <w:t xml:space="preserve">zero change. Persistence (0.0000 in both years) and random minimum-change</w:t>
      </w:r>
      <w:r>
        <w:t xml:space="preserve"> </w:t>
      </w:r>
      <w:r>
        <w:t xml:space="preserve">allocation (0.0253 in 2023; 0.0605 in 2024) are explicit zero-model controls</w:t>
      </w:r>
      <w:r>
        <w:t xml:space="preserve"> </w:t>
      </w:r>
      <w:r>
        <w:t xml:space="preserve">and are plotted in Fig.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Target year</w:t>
            </w:r>
          </w:p>
        </w:tc>
        <w:tc>
          <w:tcPr/>
          <w:p>
            <w:pPr>
              <w:pStyle w:val="Compact"/>
              <w:jc w:val="right"/>
            </w:pPr>
            <w:r>
              <w:t xml:space="preserve">FLUS-style ANN-CA</w:t>
            </w:r>
          </w:p>
        </w:tc>
        <w:tc>
          <w:tcPr/>
          <w:p>
            <w:pPr>
              <w:pStyle w:val="Compact"/>
              <w:jc w:val="right"/>
            </w:pPr>
            <w:r>
              <w:t xml:space="preserve">Geospatial Kernel</w:t>
            </w:r>
          </w:p>
        </w:tc>
        <w:tc>
          <w:tcPr/>
          <w:p>
            <w:pPr>
              <w:pStyle w:val="Compact"/>
              <w:jc w:val="right"/>
            </w:pPr>
            <w:r>
              <w:t xml:space="preserve">GeoFM-LDN</w:t>
            </w:r>
          </w:p>
        </w:tc>
      </w:tr>
      <w:tr>
        <w:tc>
          <w:tcPr/>
          <w:p>
            <w:pPr>
              <w:pStyle w:val="Compact"/>
              <w:jc w:val="left"/>
            </w:pPr>
            <w:r>
              <w:t xml:space="preserve">2023 (one-step)</w:t>
            </w:r>
          </w:p>
        </w:tc>
        <w:tc>
          <w:tcPr/>
          <w:p>
            <w:pPr>
              <w:pStyle w:val="Compact"/>
              <w:jc w:val="right"/>
            </w:pPr>
            <w:r>
              <w:t xml:space="preserve">0.1256</w:t>
            </w:r>
          </w:p>
        </w:tc>
        <w:tc>
          <w:tcPr/>
          <w:p>
            <w:pPr>
              <w:pStyle w:val="Compact"/>
              <w:jc w:val="right"/>
            </w:pPr>
            <w:r>
              <w:rPr>
                <w:b/>
                <w:bCs/>
              </w:rPr>
              <w:t xml:space="preserve">0.1961</w:t>
            </w:r>
          </w:p>
        </w:tc>
        <w:tc>
          <w:tcPr/>
          <w:p>
            <w:pPr>
              <w:pStyle w:val="Compact"/>
              <w:jc w:val="right"/>
            </w:pPr>
            <w:r>
              <w:t xml:space="preserve">0.1619</w:t>
            </w:r>
          </w:p>
        </w:tc>
      </w:tr>
      <w:tr>
        <w:tc>
          <w:tcPr/>
          <w:p>
            <w:pPr>
              <w:pStyle w:val="Compact"/>
              <w:jc w:val="left"/>
            </w:pPr>
            <w:r>
              <w:t xml:space="preserve">2024 (two-step open-loop)</w:t>
            </w:r>
          </w:p>
        </w:tc>
        <w:tc>
          <w:tcPr/>
          <w:p>
            <w:pPr>
              <w:pStyle w:val="Compact"/>
              <w:jc w:val="right"/>
            </w:pPr>
            <w:r>
              <w:t xml:space="preserve">0.1782</w:t>
            </w:r>
          </w:p>
        </w:tc>
        <w:tc>
          <w:tcPr/>
          <w:p>
            <w:pPr>
              <w:pStyle w:val="Compact"/>
              <w:jc w:val="right"/>
            </w:pPr>
            <w:r>
              <w:t xml:space="preserve">0.2529</w:t>
            </w:r>
          </w:p>
        </w:tc>
        <w:tc>
          <w:tcPr/>
          <w:p>
            <w:pPr>
              <w:pStyle w:val="Compact"/>
              <w:jc w:val="right"/>
            </w:pPr>
            <w:r>
              <w:rPr>
                <w:b/>
                <w:bCs/>
              </w:rPr>
              <w:t xml:space="preserve">0.2708</w:t>
            </w:r>
          </w:p>
        </w:tc>
      </w:tr>
    </w:tbl>
    <w:p>
      <w:pPr>
        <w:pStyle w:val="BodyText"/>
      </w:pPr>
      <w:r>
        <w:t xml:space="preserve">Spatial-block bootstrap model contrasts support these differences. For 2023,</w:t>
      </w:r>
      <w:r>
        <w:t xml:space="preserve"> </w:t>
      </w:r>
      <w:r>
        <w:t xml:space="preserve">Kernel minus the FLUS-style control was 0.0703 [0.0558, 0.0866] and GeoFM-LDN</w:t>
      </w:r>
      <w:r>
        <w:t xml:space="preserve"> </w:t>
      </w:r>
      <w:r>
        <w:t xml:space="preserve">minus Kernel was -0.0341 [-0.0479, -0.0209]. For 2024, GeoFM-LDN minus Kernel</w:t>
      </w:r>
      <w:r>
        <w:t xml:space="preserve"> </w:t>
      </w:r>
      <w:r>
        <w:t xml:space="preserve">was 0.0177 [0.0033, 0.0314].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 2 shows</w:t>
      </w:r>
      <w:r>
        <w:t xml:space="preserve"> </w:t>
      </w:r>
      <w:r>
        <w:t xml:space="preserve">the four historical metrics alongside the persistence and random minimum-change</w:t>
      </w:r>
      <w:r>
        <w:t xml:space="preserve"> </w:t>
      </w:r>
      <w:r>
        <w:t xml:space="preserve">controls; main-model bars use three-seed population standard deviations,</w:t>
      </w:r>
      <w:r>
        <w:t xml:space="preserve"> </w:t>
      </w:r>
      <w:r>
        <w:t xml:space="preserve">whereas the paired spatial-block intervals above are the uncertainty summaries</w:t>
      </w:r>
      <w:r>
        <w:t xml:space="preserve"> </w:t>
      </w:r>
      <w:r>
        <w:t xml:space="preserve">used for model contrasts. The 25- and 19-feature FLUS diagnostics are reported</w:t>
      </w:r>
      <w:r>
        <w:t xml:space="preserve"> </w:t>
      </w:r>
      <w:r>
        <w:t xml:space="preserve">in the machine-readable archive and Supplementary Table S3.</w:t>
      </w:r>
    </w:p>
    <w:p>
      <w:pPr>
        <w:pStyle w:val="CaptionedFigure"/>
      </w:pPr>
      <w:r>
        <w:drawing>
          <wp:inline>
            <wp:extent cx="5334000" cy="2382816"/>
            <wp:effectExtent b="0" l="0" r="0" t="0"/>
            <wp:docPr descr="Historical allocation skill. Strict destination-change FoM is the primary metric; change F1 is shown as a secondary diagnostic. Bars show mean plus or minus population standard deviation across the three frozen seeds. Persistence and random allocation are explicit zero-model controls." title="" id="27" name="Picture"/>
            <a:graphic>
              <a:graphicData uri="http://schemas.openxmlformats.org/drawingml/2006/picture">
                <pic:pic>
                  <pic:nvPicPr>
                    <pic:cNvPr descr="figures/fig02_historical_validation.png" id="28" name="Picture"/>
                    <pic:cNvPicPr>
                      <a:picLocks noChangeArrowheads="1" noChangeAspect="1"/>
                    </pic:cNvPicPr>
                  </pic:nvPicPr>
                  <pic:blipFill>
                    <a:blip r:embed="rId26"/>
                    <a:stretch>
                      <a:fillRect/>
                    </a:stretch>
                  </pic:blipFill>
                  <pic:spPr bwMode="auto">
                    <a:xfrm>
                      <a:off x="0" y="0"/>
                      <a:ext cx="5334000" cy="2382816"/>
                    </a:xfrm>
                    <a:prstGeom prst="rect">
                      <a:avLst/>
                    </a:prstGeom>
                    <a:noFill/>
                    <a:ln w="9525">
                      <a:noFill/>
                      <a:headEnd/>
                      <a:tailEnd/>
                    </a:ln>
                  </pic:spPr>
                </pic:pic>
              </a:graphicData>
            </a:graphic>
          </wp:inline>
        </w:drawing>
      </w:r>
    </w:p>
    <w:p>
      <w:pPr>
        <w:pStyle w:val="ImageCaption"/>
      </w:pPr>
      <w:r>
        <w:t xml:space="preserve">Historical allocation skill. Strict destination-change FoM is the primary metric; change F1 is shown as a secondary diagnostic. Bars show mean plus or minus population standard deviation across the three frozen seeds. Persistence and random allocation are explicit zero-model controls.</w:t>
      </w:r>
    </w:p>
    <w:p>
      <w:pPr>
        <w:pStyle w:val="BodyText"/>
      </w:pPr>
      <w:r>
        <w:t xml:space="preserve">An additional FLUS input-dimension analysis was also completed. The</w:t>
      </w:r>
      <w:r>
        <w:t xml:space="preserve"> </w:t>
      </w:r>
      <w:r>
        <w:t xml:space="preserve">25-feature run is not a valid point estimator: macOS seeds 47 and 73 and all</w:t>
      </w:r>
      <w:r>
        <w:t xml:space="preserve"> </w:t>
      </w:r>
      <w:r>
        <w:t xml:space="preserve">three independent external Windows x86_64 verification runs produced zero-change outputs,</w:t>
      </w:r>
      <w:r>
        <w:t xml:space="preserve"> </w:t>
      </w:r>
      <w:r>
        <w:t xml:space="preserve">whereas macOS seed 31 was the sole non-collapsed run. The six-run pattern is</w:t>
      </w:r>
      <w:r>
        <w:t xml:space="preserve"> </w:t>
      </w:r>
      <w:r>
        <w:t xml:space="preserve">therefore platform-sensitive and is retained as an identity-leakage diagnostic,</w:t>
      </w:r>
      <w:r>
        <w:t xml:space="preserve"> </w:t>
      </w:r>
      <w:r>
        <w:t xml:space="preserve">not as a Kernel contrast. The 19-feature diagnostic was run for all three macOS</w:t>
      </w:r>
      <w:r>
        <w:t xml:space="preserve"> </w:t>
      </w:r>
      <w:r>
        <w:t xml:space="preserve">seeds. Its strict FoM ranged from 0.1071 to 0.1617 in 2023 and from 0.0872 to</w:t>
      </w:r>
      <w:r>
        <w:t xml:space="preserve"> </w:t>
      </w:r>
      <w:r>
        <w:t xml:space="preserve">0.1386 in 2024; predicted changes ranged from 1,702 to 2,417 and from 1,805 to</w:t>
      </w:r>
      <w:r>
        <w:t xml:space="preserve"> </w:t>
      </w:r>
      <w:r>
        <w:t xml:space="preserve">2,499 cells, respectively, compared with 4,500 and 8,464 observed changes.</w:t>
      </w:r>
      <w:r>
        <w:t xml:space="preserve"> </w:t>
      </w:r>
      <w:r>
        <w:t xml:space="preserve">Demand total variation ranged from 0.0153 to 0.0305 in 2023 and from 0.0615 to</w:t>
      </w:r>
      <w:r>
        <w:t xml:space="preserve"> </w:t>
      </w:r>
      <w:r>
        <w:t xml:space="preserve">0.0767 in 2024. These results show why matching feature dimensions cannot make</w:t>
      </w:r>
      <w:r>
        <w:t xml:space="preserve"> </w:t>
      </w:r>
      <w:r>
        <w:t xml:space="preserve">the tasks equivalent: FLUS learns static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while</w:t>
      </w:r>
      <w:r>
        <w:t xml:space="preserve"> </w:t>
      </w:r>
      <w:r>
        <w:t xml:space="preserve">the Kernel learns next-state transitions and then projects them against action</w:t>
      </w:r>
      <w:r>
        <w:t xml:space="preserve"> </w:t>
      </w:r>
      <w:r>
        <w:t xml:space="preserve">deficits and hard constraints.</w:t>
      </w:r>
    </w:p>
    <w:p>
      <w:pPr>
        <w:pStyle w:val="BodyText"/>
      </w:pPr>
      <w:r>
        <w:t xml:space="preserve">The confidence sensitivity is a label-quality and selection-effect diagnostic,</w:t>
      </w:r>
      <w:r>
        <w:t xml:space="preserve"> </w:t>
      </w:r>
      <w:r>
        <w:t xml:space="preserve">not an independent validation set or a model-skill test. Requiring both the</w:t>
      </w:r>
      <w:r>
        <w:t xml:space="preserve"> </w:t>
      </w:r>
      <w:r>
        <w:t xml:space="preserve">origin and target Dynamic World mean top probability to exceed 0.5 retains only</w:t>
      </w:r>
      <w:r>
        <w:t xml:space="preserve"> </w:t>
      </w:r>
      <w:r>
        <w:t xml:space="preserve">25 of 4,500 observed changes (0.56%) in 2023 and 56 of 8,464 (0.66%) in 2024.</w:t>
      </w:r>
      <w:r>
        <w:t xml:space="preserve"> </w:t>
      </w:r>
      <w:r>
        <w:t xml:space="preserve">Strict FoM is 0.000 for all three models in 2023; in 2024 the means are 0.0040</w:t>
      </w:r>
      <w:r>
        <w:t xml:space="preserve"> </w:t>
      </w:r>
      <w:r>
        <w:t xml:space="preserve">for the FLUS-style console, 0.0055 for Geospatial Kernel and 0.0188 for</w:t>
      </w:r>
      <w:r>
        <w:t xml:space="preserve"> </w:t>
      </w:r>
      <w:r>
        <w:t xml:space="preserve">GeoFM-LDN. Screening only the confidence of the year immediately preceding the</w:t>
      </w:r>
      <w:r>
        <w:t xml:space="preserve"> </w:t>
      </w:r>
      <w:r>
        <w:t xml:space="preserve">target avoids filtering on target-year confidence, but still retains only 129</w:t>
      </w:r>
      <w:r>
        <w:t xml:space="preserve"> </w:t>
      </w:r>
      <w:r>
        <w:t xml:space="preserve">(2.87%) and 93 (1.10%) observed changes in 2023 and 2024, respectively. Its</w:t>
      </w:r>
      <w:r>
        <w:t xml:space="preserve"> </w:t>
      </w:r>
      <w:r>
        <w:t xml:space="preserve">2023 FoM values remain 0.000; its 2024 means are 0.0040, 0.0041 and 0.0120 for</w:t>
      </w:r>
      <w:r>
        <w:t xml:space="preserve"> </w:t>
      </w:r>
      <w:r>
        <w:t xml:space="preserve">the FLUS-style console, Kernel and GeoFM-LDN. The two filters therefore</w:t>
      </w:r>
      <w:r>
        <w:t xml:space="preserve"> </w:t>
      </w:r>
      <w:r>
        <w:t xml:space="preserve">describe label selection rather than establishing or rescuing model skill.</w:t>
      </w:r>
      <w:r>
        <w:t xml:space="preserve"> </w:t>
      </w:r>
      <w:r>
        <w:t xml:space="preserve">Dynamic World also reports built pixels increasing from 9,359 in 2022 to 15,598</w:t>
      </w:r>
      <w:r>
        <w:t xml:space="preserve"> </w:t>
      </w:r>
      <w:r>
        <w:t xml:space="preserve">in 2024 (67%), while the median one-year reversion fraction is 0.3611 and the</w:t>
      </w:r>
      <w:r>
        <w:t xml:space="preserve"> </w:t>
      </w:r>
      <w:r>
        <w:t xml:space="preserve">mean fraction of cells below confidence 0.5 is 0.5497. Test-year change counts</w:t>
      </w:r>
      <w:r>
        <w:t xml:space="preserve"> </w:t>
      </w:r>
      <w:r>
        <w:t xml:space="preserve">are 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p>
      <w:pPr>
        <w:pStyle w:val="BodyText"/>
      </w:pPr>
      <w:r>
        <w:t xml:space="preserve">The reference reproduction environment is macOS arm64 with Python 3.11 and</w:t>
      </w:r>
      <w:r>
        <w:t xml:space="preserve"> </w:t>
      </w:r>
      <w:r>
        <w:t xml:space="preserve">scikit-learn 1.9.0. The archived Linux arm64 rerun uses Python 3.12 and</w:t>
      </w:r>
      <w:r>
        <w:t xml:space="preserve"> </w:t>
      </w:r>
      <w:r>
        <w:t xml:space="preserve">scikit-learn 1.8.0, so it measures a cross-stack boundary rather than an</w:t>
      </w:r>
      <w:r>
        <w:t xml:space="preserve"> </w:t>
      </w:r>
      <w:r>
        <w:t xml:space="preserve">architecture-only effect. Across six rasters (2023 and 2024 for each seed), it</w:t>
      </w:r>
      <w:r>
        <w:t xml:space="preserve"> </w:t>
      </w:r>
      <w:r>
        <w:t xml:space="preserve">differs from the current reference by 498–1,147 cells (0.62–1.44% of valid</w:t>
      </w:r>
      <w:r>
        <w:t xml:space="preserve"> </w:t>
      </w:r>
      <w:r>
        <w:t xml:space="preserve">cells), with strict-FoM deltas from -0.0023 to 0.0010. An author-controlled</w:t>
      </w:r>
      <w:r>
        <w:t xml:space="preserve"> </w:t>
      </w:r>
      <w:r>
        <w:t xml:space="preserve">GitHub Actions Ubuntu x86_64 rerun under Python 3.11.16 and scikit-learn 1.9.0</w:t>
      </w:r>
      <w:r>
        <w:t xml:space="preserve"> </w:t>
      </w:r>
      <w:r>
        <w:t xml:space="preserve">matched all six released categorical reference rasters exactly; its archived</w:t>
      </w:r>
      <w:r>
        <w:t xml:space="preserve"> </w:t>
      </w:r>
      <w:r>
        <w:t xml:space="preserve">audit is linked in Code availability. This is a scoped locked-stack regression</w:t>
      </w:r>
      <w:r>
        <w:t xml:space="preserve"> </w:t>
      </w:r>
      <w:r>
        <w:t xml:space="preserve">result, not universal bitwise identity. Independent external Windows FLUS</w:t>
      </w:r>
      <w:r>
        <w:t xml:space="preserve"> </w:t>
      </w:r>
      <w:r>
        <w:t xml:space="preserve">verification is documented with its provenance limitation in Supplementary</w:t>
      </w:r>
      <w:r>
        <w:t xml:space="preserve"> </w:t>
      </w:r>
      <w:r>
        <w:t xml:space="preserve">Table S3; its source rasters are not locally archived. The archived comparison</w:t>
      </w:r>
      <w:r>
        <w:t xml:space="preserve"> </w:t>
      </w:r>
      <w:r>
        <w:t xml:space="preserve">report records the exact paths and environment fields for the arm64 pair.</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2.92–4.28 and GeoFM-LDN 3.21–4.35.</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corresponding objective profiles and diagnostic trade-offs are shown in</w:t>
      </w:r>
      <w:r>
        <w:t xml:space="preserve"> </w:t>
      </w:r>
      <w:r>
        <w:t xml:space="preserve">Fig. 3.</w:t>
      </w:r>
    </w:p>
    <w:p>
      <w:pPr>
        <w:pStyle w:val="CaptionedFigure"/>
      </w:pPr>
      <w:r>
        <w:drawing>
          <wp:inline>
            <wp:extent cx="5334000" cy="2431159"/>
            <wp:effectExtent b="0" l="0" r="0" t="0"/>
            <wp:docPr descr="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 title="" id="30" name="Picture"/>
            <a:graphic>
              <a:graphicData uri="http://schemas.openxmlformats.org/drawingml/2006/picture">
                <pic:pic>
                  <pic:nvPicPr>
                    <pic:cNvPr descr="figures/fig03_planning_objectives.png" id="31" name="Picture"/>
                    <pic:cNvPicPr>
                      <a:picLocks noChangeArrowheads="1" noChangeAspect="1"/>
                    </pic:cNvPicPr>
                  </pic:nvPicPr>
                  <pic:blipFill>
                    <a:blip r:embed="rId29"/>
                    <a:stretch>
                      <a:fillRect/>
                    </a:stretch>
                  </pic:blipFill>
                  <pic:spPr bwMode="auto">
                    <a:xfrm>
                      <a:off x="0" y="0"/>
                      <a:ext cx="5334000" cy="2431159"/>
                    </a:xfrm>
                    <a:prstGeom prst="rect">
                      <a:avLst/>
                    </a:prstGeom>
                    <a:noFill/>
                    <a:ln w="9525">
                      <a:noFill/>
                      <a:headEnd/>
                      <a:tailEnd/>
                    </a:ln>
                  </pic:spPr>
                </pic:pic>
              </a:graphicData>
            </a:graphic>
          </wp:inline>
        </w:drawing>
      </w:r>
    </w:p>
    <w:p>
      <w:pPr>
        <w:pStyle w:val="ImageCaption"/>
      </w:pPr>
      <w:r>
        <w:t xml:space="preserve">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w:t>
      </w:r>
    </w:p>
    <w:p>
      <w:pPr>
        <w:pStyle w:val="BodyText"/>
      </w:pPr>
      <w:r>
        <w:rPr>
          <w:b/>
          <w:bCs/>
        </w:rPr>
        <w:t xml:space="preserve">Table 2. 2031 within-scenario planning objectives.</w:t>
      </w:r>
      <w:r>
        <w:t xml:space="preserve"> </w:t>
      </w:r>
      <w:r>
        <w:t xml:space="preserve">Values are means across</w:t>
      </w:r>
      <w:r>
        <w:t xml:space="preserve"> </w:t>
      </w:r>
      <w:r>
        <w:t xml:space="preserve">three seeds. Road and pre-existing-built distances are in metres; components are</w:t>
      </w:r>
      <w:r>
        <w:t xml:space="preserve"> </w:t>
      </w:r>
      <w:r>
        <w:t xml:space="preserve">the number in the combined 2024-built and newly built footprint per 1,000 valid</w:t>
      </w:r>
      <w:r>
        <w:t xml:space="preserve"> </w:t>
      </w:r>
      <w:r>
        <w:t xml:space="preserve">cells. Ecological conversion is a descriptive fraction of new-built cells whose</w:t>
      </w:r>
      <w:r>
        <w:t xml:space="preserve"> </w:t>
      </w:r>
      <w:r>
        <w:t xml:space="preserve">origin was woody vegetation, low vegetation or wetland. Asterisks indicate the</w:t>
      </w:r>
      <w:r>
        <w:t xml:space="preserve"> </w:t>
      </w:r>
      <w:r>
        <w:t xml:space="preserve">primary within-scenario Pareto frontier.</w:t>
      </w:r>
    </w:p>
    <w:tbl>
      <w:tblPr>
        <w:tblStyle w:val="Table"/>
        <w:tblW w:type="pct" w:w="5000"/>
        <w:tblLayout w:type="fixed"/>
        <w:tblLook w:firstRow="1" w:lastRow="0" w:firstColumn="0" w:lastColumn="0" w:noHBand="0" w:noVBand="0" w:val="0020"/>
      </w:tblPr>
      <w:tblGrid>
        <w:gridCol w:w="1267"/>
        <w:gridCol w:w="1267"/>
        <w:gridCol w:w="1267"/>
        <w:gridCol w:w="1267"/>
        <w:gridCol w:w="1267"/>
        <w:gridCol w:w="1584"/>
      </w:tblGrid>
      <w:tr>
        <w:trPr>
          <w:tblHeader w:val="on"/>
        </w:trPr>
        <w:tc>
          <w:tcPr/>
          <w:p>
            <w:pPr>
              <w:pStyle w:val="Compact"/>
              <w:jc w:val="left"/>
            </w:pPr>
            <w:r>
              <w:t xml:space="preserve">Scenario / model</w:t>
            </w:r>
          </w:p>
        </w:tc>
        <w:tc>
          <w:tcPr/>
          <w:p>
            <w:pPr>
              <w:pStyle w:val="Compact"/>
              <w:jc w:val="right"/>
            </w:pPr>
            <w:r>
              <w:t xml:space="preserve">Road (m)</w:t>
            </w:r>
          </w:p>
        </w:tc>
        <w:tc>
          <w:tcPr/>
          <w:p>
            <w:pPr>
              <w:pStyle w:val="Compact"/>
              <w:jc w:val="right"/>
            </w:pPr>
            <w:r>
              <w:t xml:space="preserve">Prior built (m)</w:t>
            </w:r>
          </w:p>
        </w:tc>
        <w:tc>
          <w:tcPr/>
          <w:p>
            <w:pPr>
              <w:pStyle w:val="Compact"/>
              <w:jc w:val="right"/>
            </w:pPr>
            <w:r>
              <w:t xml:space="preserve">Components / 1,000</w:t>
            </w:r>
          </w:p>
        </w:tc>
        <w:tc>
          <w:tcPr/>
          <w:p>
            <w:pPr>
              <w:pStyle w:val="Compact"/>
              <w:jc w:val="right"/>
            </w:pPr>
            <w:r>
              <w:t xml:space="preserve">Ecology*</w:t>
            </w:r>
          </w:p>
        </w:tc>
        <w:tc>
          <w:tcPr/>
          <w:p>
            <w:pPr>
              <w:pStyle w:val="Compact"/>
              <w:jc w:val="center"/>
            </w:pPr>
            <w:r>
              <w:t xml:space="preserve">Frontier</w:t>
            </w:r>
          </w:p>
        </w:tc>
      </w:tr>
      <w:tr>
        <w:tc>
          <w:tcPr/>
          <w:p>
            <w:pPr>
              <w:pStyle w:val="Compact"/>
              <w:jc w:val="left"/>
            </w:pPr>
            <w:r>
              <w:rPr>
                <w:b/>
                <w:bCs/>
              </w:rPr>
              <w:t xml:space="preserve">Moderate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334.7</w:t>
            </w:r>
          </w:p>
        </w:tc>
        <w:tc>
          <w:tcPr/>
          <w:p>
            <w:pPr>
              <w:pStyle w:val="Compact"/>
              <w:jc w:val="right"/>
            </w:pPr>
            <w:r>
              <w:t xml:space="preserve">116.7</w:t>
            </w:r>
          </w:p>
        </w:tc>
        <w:tc>
          <w:tcPr/>
          <w:p>
            <w:pPr>
              <w:pStyle w:val="Compact"/>
              <w:jc w:val="right"/>
            </w:pPr>
            <w:r>
              <w:t xml:space="preserve">3.943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475.9</w:t>
            </w:r>
          </w:p>
        </w:tc>
        <w:tc>
          <w:tcPr/>
          <w:p>
            <w:pPr>
              <w:pStyle w:val="Compact"/>
              <w:jc w:val="right"/>
            </w:pPr>
            <w:r>
              <w:t xml:space="preserve">239.7</w:t>
            </w:r>
          </w:p>
        </w:tc>
        <w:tc>
          <w:tcPr/>
          <w:p>
            <w:pPr>
              <w:pStyle w:val="Compact"/>
              <w:jc w:val="right"/>
            </w:pPr>
            <w:r>
              <w:t xml:space="preserve">4.056</w:t>
            </w:r>
          </w:p>
        </w:tc>
        <w:tc>
          <w:tcPr/>
          <w:p>
            <w:pPr>
              <w:pStyle w:val="Compact"/>
              <w:jc w:val="right"/>
            </w:pPr>
            <w:r>
              <w:t xml:space="preserve">0.0000</w:t>
            </w:r>
          </w:p>
        </w:tc>
        <w:tc>
          <w:tcPr/>
          <w:p>
            <w:pPr>
              <w:pStyle w:val="Compact"/>
            </w:pPr>
          </w:p>
        </w:tc>
      </w:tr>
      <w:tr>
        <w:tc>
          <w:tcPr/>
          <w:p>
            <w:pPr>
              <w:pStyle w:val="Compact"/>
              <w:jc w:val="left"/>
            </w:pPr>
            <w:r>
              <w:rPr>
                <w:b/>
                <w:bCs/>
              </w:rPr>
              <w:t xml:space="preserve">Green priority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323.1</w:t>
            </w:r>
          </w:p>
        </w:tc>
        <w:tc>
          <w:tcPr/>
          <w:p>
            <w:pPr>
              <w:pStyle w:val="Compact"/>
              <w:jc w:val="right"/>
            </w:pPr>
            <w:r>
              <w:t xml:space="preserve">111.0</w:t>
            </w:r>
          </w:p>
        </w:tc>
        <w:tc>
          <w:tcPr/>
          <w:p>
            <w:pPr>
              <w:pStyle w:val="Compact"/>
              <w:jc w:val="right"/>
            </w:pPr>
            <w:r>
              <w:t xml:space="preserve">4.277</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452.1</w:t>
            </w:r>
          </w:p>
        </w:tc>
        <w:tc>
          <w:tcPr/>
          <w:p>
            <w:pPr>
              <w:pStyle w:val="Compact"/>
              <w:jc w:val="right"/>
            </w:pPr>
            <w:r>
              <w:t xml:space="preserve">222.3</w:t>
            </w:r>
          </w:p>
        </w:tc>
        <w:tc>
          <w:tcPr/>
          <w:p>
            <w:pPr>
              <w:pStyle w:val="Compact"/>
              <w:jc w:val="right"/>
            </w:pPr>
            <w:r>
              <w:t xml:space="preserve">4.348</w:t>
            </w:r>
          </w:p>
        </w:tc>
        <w:tc>
          <w:tcPr/>
          <w:p>
            <w:pPr>
              <w:pStyle w:val="Compact"/>
              <w:jc w:val="right"/>
            </w:pPr>
            <w:r>
              <w:t xml:space="preserve">0.0000</w:t>
            </w:r>
          </w:p>
        </w:tc>
        <w:tc>
          <w:tcPr/>
          <w:p>
            <w:pPr>
              <w:pStyle w:val="Compact"/>
            </w:pPr>
          </w:p>
        </w:tc>
      </w:tr>
      <w:tr>
        <w:tc>
          <w:tcPr/>
          <w:p>
            <w:pPr>
              <w:pStyle w:val="Compact"/>
              <w:jc w:val="left"/>
            </w:pPr>
            <w:r>
              <w:rPr>
                <w:b/>
                <w:bCs/>
              </w:rPr>
              <w:t xml:space="preserve">High outward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365.5</w:t>
            </w:r>
          </w:p>
        </w:tc>
        <w:tc>
          <w:tcPr/>
          <w:p>
            <w:pPr>
              <w:pStyle w:val="Compact"/>
              <w:jc w:val="right"/>
            </w:pPr>
            <w:r>
              <w:t xml:space="preserve">139.8</w:t>
            </w:r>
          </w:p>
        </w:tc>
        <w:tc>
          <w:tcPr/>
          <w:p>
            <w:pPr>
              <w:pStyle w:val="Compact"/>
              <w:jc w:val="right"/>
            </w:pPr>
            <w:r>
              <w:t xml:space="preserve">2.923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507.5</w:t>
            </w:r>
          </w:p>
        </w:tc>
        <w:tc>
          <w:tcPr/>
          <w:p>
            <w:pPr>
              <w:pStyle w:val="Compact"/>
              <w:jc w:val="right"/>
            </w:pPr>
            <w:r>
              <w:t xml:space="preserve">263.0</w:t>
            </w:r>
          </w:p>
        </w:tc>
        <w:tc>
          <w:tcPr/>
          <w:p>
            <w:pPr>
              <w:pStyle w:val="Compact"/>
              <w:jc w:val="right"/>
            </w:pPr>
            <w:r>
              <w:t xml:space="preserve">3.207</w:t>
            </w:r>
          </w:p>
        </w:tc>
        <w:tc>
          <w:tcPr/>
          <w:p>
            <w:pPr>
              <w:pStyle w:val="Compact"/>
              <w:jc w:val="right"/>
            </w:pPr>
            <w:r>
              <w:t xml:space="preserve">0.0000</w:t>
            </w:r>
          </w:p>
        </w:tc>
        <w:tc>
          <w:tcPr/>
          <w:p>
            <w:pPr>
              <w:pStyle w:val="Compact"/>
            </w:pPr>
          </w:p>
        </w:tc>
      </w:tr>
    </w:tbl>
    <w:bookmarkEnd w:id="32"/>
    <w:bookmarkStart w:id="33"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Figure 4A shows focused proposal controls, and Fig. 4B reports the matched runtime controls.</w:t>
      </w:r>
    </w:p>
    <w:p>
      <w:pPr>
        <w:pStyle w:val="BodyText"/>
      </w:pPr>
      <w:r>
        <w:t xml:space="preserve">In the post-hoc neighbourhood-weight sensitivity, mean strict FoM ranged from</w:t>
      </w:r>
      <w:r>
        <w:t xml:space="preserve"> </w:t>
      </w:r>
      <w:r>
        <w:t xml:space="preserve">0.19570 to 0.19609 in 2023 and from 0.25273 to 0.25304 in 2024; the complete</w:t>
      </w:r>
      <w:r>
        <w:t xml:space="preserve"> </w:t>
      </w:r>
      <w:r>
        <w:t xml:space="preserve">strict-evaluator 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33"/>
    <w:bookmarkStart w:id="37"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p>
      <w:pPr>
        <w:pStyle w:val="CaptionedFigure"/>
      </w:pPr>
      <w:r>
        <w:drawing>
          <wp:inline>
            <wp:extent cx="5334000" cy="2451478"/>
            <wp:effectExtent b="0" l="0" r="0" t="0"/>
            <wp:docPr descr="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se are execution diagnostics, not causal policy experiments." title="" id="35" name="Picture"/>
            <a:graphic>
              <a:graphicData uri="http://schemas.openxmlformats.org/drawingml/2006/picture">
                <pic:pic>
                  <pic:nvPicPr>
                    <pic:cNvPr descr="figures/fig04_mechanism_ablation.png" id="36" name="Picture"/>
                    <pic:cNvPicPr>
                      <a:picLocks noChangeArrowheads="1" noChangeAspect="1"/>
                    </pic:cNvPicPr>
                  </pic:nvPicPr>
                  <pic:blipFill>
                    <a:blip r:embed="rId34"/>
                    <a:stretch>
                      <a:fillRect/>
                    </a:stretch>
                  </pic:blipFill>
                  <pic:spPr bwMode="auto">
                    <a:xfrm>
                      <a:off x="0" y="0"/>
                      <a:ext cx="5334000" cy="2451478"/>
                    </a:xfrm>
                    <a:prstGeom prst="rect">
                      <a:avLst/>
                    </a:prstGeom>
                    <a:noFill/>
                    <a:ln w="9525">
                      <a:noFill/>
                      <a:headEnd/>
                      <a:tailEnd/>
                    </a:ln>
                  </pic:spPr>
                </pic:pic>
              </a:graphicData>
            </a:graphic>
          </wp:inline>
        </w:drawing>
      </w:r>
    </w:p>
    <w:p>
      <w:pPr>
        <w:pStyle w:val="ImageCaption"/>
      </w:pPr>
      <w:r>
        <w:t xml:space="preserve">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These are execution diagnostics, not causal policy experiments.</w:t>
      </w:r>
    </w:p>
    <w:bookmarkEnd w:id="37"/>
    <w:bookmarkStart w:id="41" w:name="Xda759c8571f7c32c55e24e08b791bff6f7b5747"/>
    <w:p>
      <w:pPr>
        <w:pStyle w:val="Heading3"/>
      </w:pPr>
      <w:r>
        <w:t xml:space="preserve">Spatial footprints are scenario-conditioned, not parcel predictions</w:t>
      </w:r>
    </w:p>
    <w:p>
      <w:pPr>
        <w:pStyle w:val="FirstParagraph"/>
      </w:pPr>
      <w:r>
        <w:t xml:space="preserve">The 2031 majority-vote ensemble L1 demand errors were 8, 44 and 42 pixels for</w:t>
      </w:r>
      <w:r>
        <w:t xml:space="preserve"> </w:t>
      </w:r>
      <w:r>
        <w:t xml:space="preserve">the Kernel’s moderate, green-priority and high-outward scenarios, respectively;</w:t>
      </w:r>
      <w:r>
        <w:t xml:space="preserve"> </w:t>
      </w:r>
      <w:r>
        <w:t xml:space="preserve">the corresponding GeoFM-LDN errors were 1,580, 1,524 and 1,148 pixels and the</w:t>
      </w:r>
      <w:r>
        <w:t xml:space="preserve"> </w:t>
      </w:r>
      <w:r>
        <w:t xml:space="preserve">FLUS-style errors were 2,504, 2,888 and 2,568 pixels. Seed-level projections</w:t>
      </w:r>
      <w:r>
        <w:t xml:space="preserve"> </w:t>
      </w:r>
      <w:r>
        <w:t xml:space="preserve">meet their feasible class totals, but majority voting can produce a different</w:t>
      </w:r>
      <w:r>
        <w:t xml:space="preserve"> </w:t>
      </w:r>
      <w:r>
        <w:t xml:space="preserve">raster and therefore a non-zero ensemble error. All 276 historical and planning</w:t>
      </w:r>
      <w:r>
        <w:t xml:space="preserve"> </w:t>
      </w:r>
      <w:r>
        <w:t xml:space="preserve">prediction records passed the raster audit. Figure 5 uses the high-outward</w:t>
      </w:r>
      <w:r>
        <w:t xml:space="preserve"> </w:t>
      </w:r>
      <w:r>
        <w:t xml:space="preserve">scenario to make the spatial contrast legible; the complete nine-panel atlas is</w:t>
      </w:r>
      <w:r>
        <w:t xml:space="preserve"> </w:t>
      </w:r>
      <w:r>
        <w:t xml:space="preserve">provided as Supplementary Fig. S1. These are raster-cell change footprints, not</w:t>
      </w:r>
      <w:r>
        <w:t xml:space="preserve"> </w:t>
      </w:r>
      <w:r>
        <w:t xml:space="preserve">parcel boundaries or statutory zoning maps.</w:t>
      </w:r>
    </w:p>
    <w:p>
      <w:pPr>
        <w:pStyle w:val="CaptionedFigure"/>
      </w:pPr>
      <w:r>
        <w:drawing>
          <wp:inline>
            <wp:extent cx="5334000" cy="4712835"/>
            <wp:effectExtent b="0" l="0" r="0" t="0"/>
            <wp:docPr descr="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 title="" id="39" name="Picture"/>
            <a:graphic>
              <a:graphicData uri="http://schemas.openxmlformats.org/drawingml/2006/picture">
                <pic:pic>
                  <pic:nvPicPr>
                    <pic:cNvPr descr="figures/fig05_planning_maps_2031.png" id="40" name="Picture"/>
                    <pic:cNvPicPr>
                      <a:picLocks noChangeArrowheads="1" noChangeAspect="1"/>
                    </pic:cNvPicPr>
                  </pic:nvPicPr>
                  <pic:blipFill>
                    <a:blip r:embed="rId38"/>
                    <a:stretch>
                      <a:fillRect/>
                    </a:stretch>
                  </pic:blipFill>
                  <pic:spPr bwMode="auto">
                    <a:xfrm>
                      <a:off x="0" y="0"/>
                      <a:ext cx="5334000" cy="4712835"/>
                    </a:xfrm>
                    <a:prstGeom prst="rect">
                      <a:avLst/>
                    </a:prstGeom>
                    <a:noFill/>
                    <a:ln w="9525">
                      <a:noFill/>
                      <a:headEnd/>
                      <a:tailEnd/>
                    </a:ln>
                  </pic:spPr>
                </pic:pic>
              </a:graphicData>
            </a:graphic>
          </wp:inline>
        </w:drawing>
      </w:r>
    </w:p>
    <w:p>
      <w:pPr>
        <w:pStyle w:val="ImageCaption"/>
      </w:pPr>
      <w:r>
        <w:t xml:space="preserve">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w:t>
      </w:r>
    </w:p>
    <w:bookmarkEnd w:id="41"/>
    <w:bookmarkEnd w:id="42"/>
    <w:bookmarkStart w:id="43"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noisy annual labels. The defensible contribution is that a transition proposal and a planning admission rule can be represented and inspected separately. Under the unmatched public-data pipeline, Geospatial Kernel has the largest strict transition FoM at the one-step horizon, while GeoFM-LDN has the largest value after recursive two-step rollout. The dual-year confidence filter retains only 0.56% and 0.66% of observed changes in 2023 and 2024, respectively; the preceding-year-only variant retains 2.87% and 1.10%. These subsets are not skill tests; full-grid rankings remain unvalidated because no independent change product is yet available. We therefore treat the planning frontier as conditional on public proxy objectives and synthetic actions.</w:t>
      </w:r>
    </w:p>
    <w:p>
      <w:pPr>
        <w:pStyle w:val="BodyText"/>
      </w:pPr>
      <w:r>
        <w:t xml:space="preserve">The evidence remains bounded. The six classes are remote-sensing land cover, not</w:t>
      </w:r>
      <w:r>
        <w:t xml:space="preserve"> </w:t>
      </w:r>
      <w:r>
        <w:t xml:space="preserve">statutory residential, commercial or industrial land use. Dynamic World labels</w:t>
      </w:r>
      <w:r>
        <w:t xml:space="preserve"> </w:t>
      </w:r>
      <w:r>
        <w:t xml:space="preserve">show substantial annual uncertainty and apparent turnover; no independent</w:t>
      </w:r>
      <w:r>
        <w:t xml:space="preserve"> </w:t>
      </w:r>
      <w:r>
        <w:t xml:space="preserve">2023–2024 change product or observed 2025–2031 labels was available. Public</w:t>
      </w:r>
      <w:r>
        <w:t xml:space="preserve"> </w:t>
      </w:r>
      <w:r>
        <w:t xml:space="preserve">roads, wetland and protected-area layers are proxies, future drivers are held at</w:t>
      </w:r>
      <w:r>
        <w:t xml:space="preserve"> </w:t>
      </w:r>
      <w:r>
        <w:t xml:space="preserve">2024, and the green-priority action has no water-budget constraint. The FLUS-style</w:t>
      </w:r>
      <w:r>
        <w:t xml:space="preserve"> </w:t>
      </w:r>
      <w:r>
        <w:t xml:space="preserve">control is an Apple-Silicon binary rebuilt from the public GeoSOS source base</w:t>
      </w:r>
      <w:r>
        <w:t xml:space="preserve"> </w:t>
      </w:r>
      <w:r>
        <w:t xml:space="preserve">with the author’s</w:t>
      </w:r>
      <w:r>
        <w:t xml:space="preserve"> </w:t>
      </w:r>
      <w:r>
        <w:rPr>
          <w:rStyle w:val="VerbatimChar"/>
        </w:rPr>
        <w:t xml:space="preserve">train</w:t>
      </w:r>
      <w:r>
        <w:t xml:space="preserve">/</w:t>
      </w:r>
      <w:r>
        <w:rPr>
          <w:rStyle w:val="VerbatimChar"/>
        </w:rPr>
        <w:t xml:space="preserve">train-update</w:t>
      </w:r>
      <w:r>
        <w:t xml:space="preserve"> </w:t>
      </w:r>
      <w:r>
        <w:t xml:space="preserve">and deterministic-seeding patches; its</w:t>
      </w:r>
      <w:r>
        <w:t xml:space="preserve"> </w:t>
      </w:r>
      <w:r>
        <w:t xml:space="preserve">headline comparison uses seven drivers. The 25-feature run is a</w:t>
      </w:r>
      <w:r>
        <w:t xml:space="preserve"> </w:t>
      </w:r>
      <w:r>
        <w:t xml:space="preserve">platform-sensitive identity-leakage diagnostic: five of six platform–seed runs</w:t>
      </w:r>
      <w:r>
        <w:t xml:space="preserve"> </w:t>
      </w:r>
      <w:r>
        <w:t xml:space="preserve">collapsed to zero change, so the non-collapsed macOS seed-31 result is not used</w:t>
      </w:r>
      <w:r>
        <w:t xml:space="preserve"> </w:t>
      </w:r>
      <w:r>
        <w:t xml:space="preserve">as a comparative estimate.</w:t>
      </w:r>
      <w:r>
        <w:t xml:space="preserve"> </w:t>
      </w:r>
      <w:r>
        <w:t xml:space="preserve">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End w:id="43"/>
    <w:bookmarkStart w:id="44" w:name="data-availability"/>
    <w:p>
      <w:pPr>
        <w:pStyle w:val="Heading2"/>
      </w:pPr>
      <w:r>
        <w:t xml:space="preserve">Data availability</w:t>
      </w:r>
    </w:p>
    <w:p>
      <w:pPr>
        <w:pStyle w:val="FirstParagraph"/>
      </w:pPr>
      <w:r>
        <w:t xml:space="preserve">The public-data benchmark manifests, protocols, reports and generated delivery artefacts are organized under</w:t>
      </w:r>
      <w:r>
        <w:t xml:space="preserve"> </w:t>
      </w:r>
      <w:r>
        <w:rPr>
          <w:rStyle w:val="VerbatimChar"/>
        </w:rPr>
        <w:t xml:space="preserve">benchmarks/abu_dhabi_land_use_v1/</w:t>
      </w:r>
      <w:r>
        <w:t xml:space="preserve"> </w:t>
      </w:r>
      <w:r>
        <w:t xml:space="preserve">in the accompanying repository. The main evidence files are:</w:t>
      </w:r>
    </w:p>
    <w:p>
      <w:pPr>
        <w:pStyle w:val="Compact"/>
        <w:numPr>
          <w:ilvl w:val="0"/>
          <w:numId w:val="1002"/>
        </w:numPr>
      </w:pPr>
      <w:r>
        <w:rPr>
          <w:rStyle w:val="VerbatimChar"/>
        </w:rPr>
        <w:t xml:space="preserve">comparison_report_current.json</w:t>
      </w:r>
      <w:r>
        <w:t xml:space="preserve"> </w:t>
      </w:r>
      <w:r>
        <w:t xml:space="preserve">and</w:t>
      </w:r>
      <w:r>
        <w:t xml:space="preserve"> </w:t>
      </w:r>
      <w:r>
        <w:rPr>
          <w:rStyle w:val="VerbatimChar"/>
        </w:rPr>
        <w:t xml:space="preserve">comparison_report_current.md</w:t>
      </w:r>
      <w:r>
        <w:t xml:space="preserve"> </w:t>
      </w:r>
      <w:r>
        <w:t xml:space="preserve">for historical metrics when a data-complete rerun is available;</w:t>
      </w:r>
    </w:p>
    <w:p>
      <w:pPr>
        <w:pStyle w:val="Compact"/>
        <w:numPr>
          <w:ilvl w:val="0"/>
          <w:numId w:val="1002"/>
        </w:numPr>
      </w:pPr>
      <w:r>
        <w:rPr>
          <w:rStyle w:val="VerbatimChar"/>
        </w:rPr>
        <w:t xml:space="preserve">planning_comparison_report_public_2025_2031_current.json</w:t>
      </w:r>
      <w:r>
        <w:t xml:space="preserve"> </w:t>
      </w:r>
      <w:r>
        <w:t xml:space="preserve">and its Markdown rendering for 2031 planning objectives;</w:t>
      </w:r>
    </w:p>
    <w:p>
      <w:pPr>
        <w:pStyle w:val="Compact"/>
        <w:numPr>
          <w:ilvl w:val="0"/>
          <w:numId w:val="1002"/>
        </w:numPr>
      </w:pPr>
      <w:r>
        <w:rPr>
          <w:rStyle w:val="VerbatimChar"/>
        </w:rPr>
        <w:t xml:space="preserve">planning_scenario_report_public_2025_2031_current.json</w:t>
      </w:r>
      <w:r>
        <w:t xml:space="preserve"> </w:t>
      </w:r>
      <w:r>
        <w:t xml:space="preserve">for per-seed rollout traces;</w:t>
      </w:r>
    </w:p>
    <w:p>
      <w:pPr>
        <w:pStyle w:val="Compact"/>
        <w:numPr>
          <w:ilvl w:val="0"/>
          <w:numId w:val="1002"/>
        </w:numPr>
      </w:pPr>
      <w:r>
        <w:rPr>
          <w:rStyle w:val="VerbatimChar"/>
        </w:rPr>
        <w:t xml:space="preserve">planning_public_2025_2031_delivery_manifest_current.json</w:t>
      </w:r>
      <w:r>
        <w:t xml:space="preserve"> </w:t>
      </w:r>
      <w:r>
        <w:t xml:space="preserve">for raster and vector delivery;</w:t>
      </w:r>
    </w:p>
    <w:p>
      <w:pPr>
        <w:pStyle w:val="Compact"/>
        <w:numPr>
          <w:ilvl w:val="0"/>
          <w:numId w:val="1002"/>
        </w:numPr>
      </w:pPr>
      <w:r>
        <w:rPr>
          <w:rStyle w:val="VerbatimChar"/>
        </w:rPr>
        <w:t xml:space="preserve">output_audit.json</w:t>
      </w:r>
      <w:r>
        <w:t xml:space="preserve"> </w:t>
      </w:r>
      <w:r>
        <w:t xml:space="preserve">for the current raster audit;</w:t>
      </w:r>
      <w:r>
        <w:t xml:space="preserve"> </w:t>
      </w:r>
      <w:r>
        <w:rPr>
          <w:rStyle w:val="VerbatimChar"/>
        </w:rPr>
        <w:t xml:space="preserve">output_audit_reproducible.json</w:t>
      </w:r>
      <w:r>
        <w:t xml:space="preserve"> </w:t>
      </w:r>
      <w:r>
        <w:t xml:space="preserve">is a compatibility copy produced by the same run;</w:t>
      </w:r>
    </w:p>
    <w:p>
      <w:pPr>
        <w:pStyle w:val="Compact"/>
        <w:numPr>
          <w:ilvl w:val="0"/>
          <w:numId w:val="1002"/>
        </w:numPr>
      </w:pPr>
      <w:r>
        <w:t xml:space="preserve">the data-audit, protocol and source-input manifests for data provenance;</w:t>
      </w:r>
    </w:p>
    <w:p>
      <w:pPr>
        <w:pStyle w:val="Compact"/>
        <w:numPr>
          <w:ilvl w:val="0"/>
          <w:numId w:val="1002"/>
        </w:numPr>
      </w:pPr>
      <w:r>
        <w:t xml:space="preserve">The released bundle includes the aligned 2017–2024 public rasters, historical seed and ensemble prediction rasters, 2025–2031 planning seed and ensemble rasters, nine GeoPackages of dissolved change footprints, the mechanism-ablation report, model checkpoints, and the SHA-256 manifest. Text hashes use canonical LF line endings, and the byte-length check applies the same normalization on text records, so a Windows checkout with</w:t>
      </w:r>
      <w:r>
        <w:t xml:space="preserve"> </w:t>
      </w:r>
      <w:r>
        <w:rPr>
          <w:rStyle w:val="VerbatimChar"/>
        </w:rPr>
        <w:t xml:space="preserve">core.autocrlf=true</w:t>
      </w:r>
      <w:r>
        <w:t xml:space="preserve"> </w:t>
      </w:r>
      <w:r>
        <w:t xml:space="preserve">can pass the manifest gate. The locked macOS arm64 execution environment remains the reference for model outputs. An archived arm64 Linux rerun of the six historical Kernel rasters differed from the macOS reference by 498–1,147 cells (0.62%–1.44%), with strict-FoM deltas from -0.0023 to +0.0010; these cross-stack differences are quantified rather than treated as categorical identity. An author-controlled GitHub Actions Ubuntu x86_64 rerun of all six rasters under the resolved lock had zero categorical differences; the repository-stored CI audit is in</w:t>
      </w:r>
      <w:r>
        <w:t xml:space="preserve"> </w:t>
      </w:r>
      <w:r>
        <w:rPr>
          <w:rStyle w:val="VerbatimChar"/>
        </w:rPr>
        <w:t xml:space="preserve">artifacts/cross_platform</w:t>
      </w:r>
      <w:r>
        <w:t xml:space="preserve"> </w:t>
      </w:r>
      <w:r>
        <w:t xml:space="preserve">at commit</w:t>
      </w:r>
      <w:r>
        <w:t xml:space="preserve"> </w:t>
      </w:r>
      <w:r>
        <w:rPr>
          <w:rStyle w:val="VerbatimChar"/>
        </w:rPr>
        <w:t xml:space="preserve">e06a997</w:t>
      </w:r>
      <w:r>
        <w:t xml:space="preserve">, and the workflow is versioned under</w:t>
      </w:r>
      <w:r>
        <w:t xml:space="preserve"> </w:t>
      </w:r>
      <w:r>
        <w:rPr>
          <w:rStyle w:val="VerbatimChar"/>
        </w:rPr>
        <w:t xml:space="preserve">.github/workflows/</w:t>
      </w:r>
      <w:r>
        <w:t xml:space="preserve">. Independent external Windows evidence remains separately labelled for FLUS because the corresponding rasters are not archived locally. No private database address, credential or client-only service is included. Authoritative Abu Dhabi land-use and independent change-validation data remain outside this study.</w:t>
      </w:r>
    </w:p>
    <w:bookmarkEnd w:id="44"/>
    <w:bookmarkStart w:id="45" w:name="code-availability"/>
    <w:p>
      <w:pPr>
        <w:pStyle w:val="Heading2"/>
      </w:pPr>
      <w:r>
        <w:t xml:space="preserve">Code availability</w:t>
      </w:r>
    </w:p>
    <w:p>
      <w:pPr>
        <w:pStyle w:val="FirstParagraph"/>
      </w:pPr>
      <w:r>
        <w:t xml:space="preserve">The analysis scripts, a vendored Geospatial Kernel runtime snapshot, benchmark protocol, model runners and figure-generation code are maintained in the accompanying repository. Principal entry points are listed separately to keep the manuscript readable:</w:t>
      </w:r>
    </w:p>
    <w:p>
      <w:pPr>
        <w:pStyle w:val="Compact"/>
        <w:numPr>
          <w:ilvl w:val="0"/>
          <w:numId w:val="1003"/>
        </w:numPr>
      </w:pPr>
      <w:r>
        <w:rPr>
          <w:rStyle w:val="VerbatimChar"/>
        </w:rPr>
        <w:t xml:space="preserve">run_geospatial_kernel.py</w:t>
      </w:r>
      <w:r>
        <w:t xml:space="preserve"> </w:t>
      </w:r>
      <w:r>
        <w:t xml:space="preserve">for the Kernel historical run;</w:t>
      </w:r>
    </w:p>
    <w:p>
      <w:pPr>
        <w:pStyle w:val="Compact"/>
        <w:numPr>
          <w:ilvl w:val="0"/>
          <w:numId w:val="1003"/>
        </w:numPr>
      </w:pPr>
      <w:r>
        <w:t xml:space="preserve">the vendored</w:t>
      </w:r>
      <w:r>
        <w:t xml:space="preserve"> </w:t>
      </w:r>
      <w:r>
        <w:rPr>
          <w:rStyle w:val="VerbatimChar"/>
        </w:rPr>
        <w:t xml:space="preserve">geospatial_kernel/runtime.py</w:t>
      </w:r>
      <w:r>
        <w:t xml:space="preserve"> </w:t>
      </w:r>
      <w:r>
        <w:t xml:space="preserve">snapshot;</w:t>
      </w:r>
    </w:p>
    <w:p>
      <w:pPr>
        <w:pStyle w:val="Compact"/>
        <w:numPr>
          <w:ilvl w:val="0"/>
          <w:numId w:val="1003"/>
        </w:numPr>
      </w:pPr>
      <w:r>
        <w:rPr>
          <w:rStyle w:val="VerbatimChar"/>
        </w:rPr>
        <w:t xml:space="preserve">render_nature_figures.py</w:t>
      </w:r>
      <w:r>
        <w:t xml:space="preserve"> </w:t>
      </w:r>
      <w:r>
        <w:t xml:space="preserve">for publication artwork.</w:t>
      </w:r>
    </w:p>
    <w:p>
      <w:pPr>
        <w:pStyle w:val="Compact"/>
        <w:numPr>
          <w:ilvl w:val="0"/>
          <w:numId w:val="1003"/>
        </w:numPr>
      </w:pPr>
      <w:r>
        <w:rPr>
          <w:rStyle w:val="VerbatimChar"/>
        </w:rPr>
        <w:t xml:space="preserve">reproducibility/reproduce.py</w:t>
      </w:r>
      <w:r>
        <w:t xml:space="preserve"> </w:t>
      </w:r>
      <w:r>
        <w:t xml:space="preserve">for the end-to-end rerun;</w:t>
      </w:r>
    </w:p>
    <w:p>
      <w:pPr>
        <w:pStyle w:val="Compact"/>
        <w:numPr>
          <w:ilvl w:val="0"/>
          <w:numId w:val="1003"/>
        </w:numPr>
      </w:pPr>
      <w:r>
        <w:rPr>
          <w:rStyle w:val="VerbatimChar"/>
        </w:rPr>
        <w:t xml:space="preserve">reproducibility_check.py</w:t>
      </w:r>
      <w:r>
        <w:t xml:space="preserve"> </w:t>
      </w:r>
      <w:r>
        <w:t xml:space="preserve">and</w:t>
      </w:r>
      <w:r>
        <w:t xml:space="preserve"> </w:t>
      </w:r>
      <w:r>
        <w:rPr>
          <w:rStyle w:val="VerbatimChar"/>
        </w:rPr>
        <w:t xml:space="preserve">audit_outputs.py</w:t>
      </w:r>
      <w:r>
        <w:t xml:space="preserve"> </w:t>
      </w:r>
      <w:r>
        <w:t xml:space="preserve">for fail-closed integrity checks.</w:t>
      </w:r>
    </w:p>
    <w:p>
      <w:pPr>
        <w:pStyle w:val="FirstParagraph"/>
      </w:pPr>
      <w:r>
        <w:t xml:space="preserve">GeoFM-LDN source and the three fixed checkpoints are included in the benchmark</w:t>
      </w:r>
      <w:r>
        <w:t xml:space="preserve"> </w:t>
      </w:r>
      <w:r>
        <w:t xml:space="preserve">external and prediction-artifact directories.</w:t>
      </w:r>
      <w:r>
        <w:t xml:space="preserve"> </w:t>
      </w:r>
      <w:r>
        <w:t xml:space="preserve">Earlier internal reference outputs, produced before the dependency lock was</w:t>
      </w:r>
      <w:r>
        <w:t xml:space="preserve"> </w:t>
      </w:r>
      <w:r>
        <w:t xml:space="preserve">completed, could not be regenerated under the resolved environment and were</w:t>
      </w:r>
      <w:r>
        <w:t xml:space="preserve"> </w:t>
      </w:r>
      <w:r>
        <w:t xml:space="preserve">superseded by the locked-environment rerun reported here. Historical strict-FoM</w:t>
      </w:r>
      <w:r>
        <w:t xml:space="preserve"> </w:t>
      </w:r>
      <w:r>
        <w:t xml:space="preserve">differences were at approximately the 0.001 level; discrete multi-year planning</w:t>
      </w:r>
      <w:r>
        <w:t xml:space="preserve"> </w:t>
      </w:r>
      <w:r>
        <w:t xml:space="preserve">ensemble demand errors changed more substantially and are reported here only</w:t>
      </w:r>
      <w:r>
        <w:t xml:space="preserve"> </w:t>
      </w:r>
      <w:r>
        <w:t xml:space="preserve">from the locked-environment rerun. The prior outputs remain Git-history lineage,</w:t>
      </w:r>
      <w:r>
        <w:t xml:space="preserve"> </w:t>
      </w:r>
      <w:r>
        <w:t xml:space="preserve">not current evidence.</w:t>
      </w:r>
      <w:r>
        <w:t xml:space="preserve"> </w:t>
      </w:r>
      <w:r>
        <w:t xml:space="preserve">The vendored FLUS executable is a macOS arm64 binary rebuilt from the GeoSOS</w:t>
      </w:r>
      <w:r>
        <w:t xml:space="preserve"> </w:t>
      </w:r>
      <w:r>
        <w:t xml:space="preserve">public FLUS source base. The author-modified source, including</w:t>
      </w:r>
      <w:r>
        <w:t xml:space="preserve"> </w:t>
      </w:r>
      <w:r>
        <w:rPr>
          <w:rStyle w:val="VerbatimChar"/>
        </w:rPr>
        <w:t xml:space="preserve">train-update</w:t>
      </w:r>
      <w:r>
        <w:t xml:space="preserve"> </w:t>
      </w:r>
      <w:r>
        <w:t xml:space="preserve">and</w:t>
      </w:r>
      <w:r>
        <w:t xml:space="preserve"> </w:t>
      </w:r>
      <w:r>
        <w:rPr>
          <w:rStyle w:val="VerbatimChar"/>
        </w:rPr>
        <w:t xml:space="preserve">FLUS_RANDOM_SEED</w:t>
      </w:r>
      <w:r>
        <w:t xml:space="preserve">, is archived at</w:t>
      </w:r>
      <w:r>
        <w:t xml:space="preserve"> </w:t>
      </w:r>
      <w:r>
        <w:t xml:space="preserve">the public FLUS source repository, tag</w:t>
      </w:r>
      <w:r>
        <w:t xml:space="preserve"> </w:t>
      </w:r>
      <w:r>
        <w:rPr>
          <w:rStyle w:val="VerbatimChar"/>
        </w:rPr>
        <w:t xml:space="preserve">paper-benchmark-flus-v1.1</w:t>
      </w:r>
      <w:r>
        <w:t xml:space="preserve"> </w:t>
      </w:r>
      <w:r>
        <w:t xml:space="preserve">at commit</w:t>
      </w:r>
      <w:r>
        <w:t xml:space="preserve"> </w:t>
      </w:r>
      <w:r>
        <w:rPr>
          <w:rStyle w:val="VerbatimChar"/>
        </w:rPr>
        <w:t xml:space="preserve">47e65b3</w:t>
      </w:r>
      <w:r>
        <w:t xml:space="preserve"> </w:t>
      </w:r>
      <w:r>
        <w:t xml:space="preserve">(the GeoSOS source release and Liu et al. (2017) are cited above). Rebuilding</w:t>
      </w:r>
      <w:r>
        <w:t xml:space="preserve"> </w:t>
      </w:r>
      <w:r>
        <w:t xml:space="preserve">the preceding v1 commit (</w:t>
      </w:r>
      <w:r>
        <w:rPr>
          <w:rStyle w:val="VerbatimChar"/>
        </w:rPr>
        <w:t xml:space="preserve">deb0a54</w:t>
      </w:r>
      <w:r>
        <w:t xml:space="preserve">) on macOS arm64 produced SHA-256</w:t>
      </w:r>
      <w:r>
        <w:t xml:space="preserve"> </w:t>
      </w:r>
      <w:r>
        <w:rPr>
          <w:rStyle w:val="VerbatimChar"/>
        </w:rPr>
        <w:t xml:space="preserve">9839ce50950442d4ef49e4d2129a1ba27735e1955c2d4975ae51067c1c3c9964</w:t>
      </w:r>
      <w:r>
        <w:t xml:space="preserve">,</w:t>
      </w:r>
      <w:r>
        <w:t xml:space="preserve"> </w:t>
      </w:r>
      <w:r>
        <w:t xml:space="preserve">identical to the vendored executable. Version v1.1 changes only invalid-input</w:t>
      </w:r>
      <w:r>
        <w:t xml:space="preserve"> </w:t>
      </w:r>
      <w:r>
        <w:t xml:space="preserve">failure handling and leaves valid-input algorithmic paths unchanged; the</w:t>
      </w:r>
      <w:r>
        <w:t xml:space="preserve"> </w:t>
      </w:r>
      <w:r>
        <w:t xml:space="preserve">normal-output equivalence check is archived with the source release.</w:t>
      </w:r>
      <w:r>
        <w:t xml:space="preserve"> </w:t>
      </w:r>
      <w:r>
        <w:t xml:space="preserve">The tagged author-modified source can also be built on Linux and Windows using</w:t>
      </w:r>
      <w:r>
        <w:t xml:space="preserve"> </w:t>
      </w:r>
      <w:r>
        <w:t xml:space="preserve">the repository instructions.</w:t>
      </w:r>
      <w:r>
        <w:t xml:space="preserve"> </w:t>
      </w:r>
      <w:r>
        <w:rPr>
          <w:rStyle w:val="VerbatimChar"/>
        </w:rPr>
        <w:t xml:space="preserve">FLUS_RANDOM_SEED</w:t>
      </w:r>
      <w:r>
        <w:t xml:space="preserve"> </w:t>
      </w:r>
      <w:r>
        <w:t xml:space="preserve">guarantees determinism only</w:t>
      </w:r>
      <w:r>
        <w:t xml:space="preserve"> </w:t>
      </w:r>
      <w:r>
        <w:t xml:space="preserve">within a platform and build environment because ANN sampling and CA roulette</w:t>
      </w:r>
      <w:r>
        <w:t xml:space="preserve"> </w:t>
      </w:r>
      <w:r>
        <w:t xml:space="preserve">draws use platform-defined C</w:t>
      </w:r>
      <w:r>
        <w:t xml:space="preserve"> </w:t>
      </w:r>
      <w:r>
        <w:rPr>
          <w:rStyle w:val="VerbatimChar"/>
        </w:rPr>
        <w:t xml:space="preserve">rand()</w:t>
      </w:r>
      <w:r>
        <w:t xml:space="preserve">/</w:t>
      </w:r>
      <w:r>
        <w:rPr>
          <w:rStyle w:val="VerbatimChar"/>
        </w:rPr>
        <w:t xml:space="preserve">srand()</w:t>
      </w:r>
      <w:r>
        <w:t xml:space="preserve"> </w:t>
      </w:r>
      <w:r>
        <w:t xml:space="preserve">streams. Independent external</w:t>
      </w:r>
      <w:r>
        <w:t xml:space="preserve"> </w:t>
      </w:r>
      <w:r>
        <w:t xml:space="preserve">Windows FLUS verification, including the seven-driver cross-platform difference</w:t>
      </w:r>
      <w:r>
        <w:t xml:space="preserve"> </w:t>
      </w:r>
      <w:r>
        <w:t xml:space="preserve">and the 25-feature zero-change outcome, is documented with its provenance</w:t>
      </w:r>
      <w:r>
        <w:t xml:space="preserve"> </w:t>
      </w:r>
      <w:r>
        <w:t xml:space="preserve">limitation in Supplementary Table S3. Windows execution requires the benchmark</w:t>
      </w:r>
      <w:r>
        <w:t xml:space="preserve"> </w:t>
      </w:r>
      <w:r>
        <w:t xml:space="preserve">and working directories to use pure ASCII paths; saving configuration files as</w:t>
      </w:r>
      <w:r>
        <w:t xml:space="preserve"> </w:t>
      </w:r>
      <w:r>
        <w:t xml:space="preserve">UTF-8 alone does not repair GDAL path decoding. A compatible local build is required to</w:t>
      </w:r>
      <w:r>
        <w:t xml:space="preserve"> </w:t>
      </w:r>
      <w:r>
        <w:t xml:space="preserve">execute the FLUS track outside macOS arm64 and will produce a different random</w:t>
      </w:r>
      <w:r>
        <w:t xml:space="preserve"> </w:t>
      </w:r>
      <w:r>
        <w:t xml:space="preserve">stream. The macOS binary SHA statement is an author self-check. As an</w:t>
      </w:r>
      <w:r>
        <w:t xml:space="preserve"> </w:t>
      </w:r>
      <w:r>
        <w:t xml:space="preserve">upstream-only fallback, the public FLUS CA source can be paired with an open</w:t>
      </w:r>
      <w:r>
        <w:t xml:space="preserve"> </w:t>
      </w:r>
      <w:r>
        <w:t xml:space="preserve">Python ANN implementation, but the unmodified upstream CA uses time seeding</w:t>
      </w:r>
      <w:r>
        <w:t xml:space="preserve"> </w:t>
      </w:r>
      <w:r>
        <w:t xml:space="preserve">rather than</w:t>
      </w:r>
      <w:r>
        <w:t xml:space="preserve"> </w:t>
      </w:r>
      <w:r>
        <w:rPr>
          <w:rStyle w:val="VerbatimChar"/>
        </w:rPr>
        <w:t xml:space="preserve">FLUS_RANDOM_SEED</w:t>
      </w:r>
      <w:r>
        <w:t xml:space="preserve">. The corresponding-author e-mail is</w:t>
      </w:r>
      <w:r>
        <w:t xml:space="preserve"> </w:t>
      </w:r>
      <w:r>
        <w:rPr>
          <w:rStyle w:val="VerbatimChar"/>
        </w:rPr>
        <w:t xml:space="preserve">zhouning@freedotech.com</w:t>
      </w:r>
      <w:r>
        <w:t xml:space="preserve">; an archival DOI should be added after a persistent</w:t>
      </w:r>
      <w:r>
        <w:t xml:space="preserve"> </w:t>
      </w:r>
      <w:r>
        <w:t xml:space="preserve">public release is created.</w:t>
      </w:r>
    </w:p>
    <w:bookmarkEnd w:id="45"/>
    <w:bookmarkStart w:id="46" w:name="declarations"/>
    <w:p>
      <w:pPr>
        <w:pStyle w:val="Heading2"/>
      </w:pPr>
      <w:r>
        <w:t xml:space="preserve">Declarations</w:t>
      </w:r>
    </w:p>
    <w:p>
      <w:pPr>
        <w:pStyle w:val="FirstParagraph"/>
      </w:pPr>
      <w:r>
        <w:rPr>
          <w:b/>
          <w:bCs/>
        </w:rPr>
        <w:t xml:space="preserve">Funding.</w:t>
      </w:r>
      <w:r>
        <w:t xml:space="preserve"> </w:t>
      </w:r>
      <w:r>
        <w:t xml:space="preserve">No external funding was received for this study.</w:t>
      </w:r>
    </w:p>
    <w:p>
      <w:pPr>
        <w:pStyle w:val="BodyText"/>
      </w:pPr>
      <w:r>
        <w:rPr>
          <w:b/>
          <w:bCs/>
        </w:rPr>
        <w:t xml:space="preserve">Competing interests.</w:t>
      </w:r>
      <w:r>
        <w:t xml:space="preserve"> </w:t>
      </w:r>
      <w:r>
        <w:t xml:space="preserve">Ning Zhou is employed by Beijing Freedo Technology Co., Ltd., which develops geospatial-world-model software. The author declares no other competing financial or personal interests.</w:t>
      </w:r>
    </w:p>
    <w:p>
      <w:pPr>
        <w:pStyle w:val="BodyText"/>
      </w:pPr>
      <w:r>
        <w:rPr>
          <w:b/>
          <w:bCs/>
        </w:rPr>
        <w:t xml:space="preserve">CRediT author statement.</w:t>
      </w:r>
      <w:r>
        <w:t xml:space="preserve"> </w:t>
      </w:r>
      <w:r>
        <w:t xml:space="preserve">Ning Zhou: Conceptualization, methodology, software, data curation, formal analysis, visualization, writing—original draft, writing—review and editing.</w:t>
      </w:r>
    </w:p>
    <w:p>
      <w:pPr>
        <w:pStyle w:val="BodyText"/>
      </w:pPr>
      <w:r>
        <w:rPr>
          <w:b/>
          <w:bCs/>
        </w:rPr>
        <w:t xml:space="preserve">Acknowledgements.</w:t>
      </w:r>
      <w:r>
        <w:t xml:space="preserve"> </w:t>
      </w:r>
      <w:r>
        <w:t xml:space="preserve">The author thanks the anonymous reviewers for independent technical verification and constructive methodological comments.</w:t>
      </w:r>
    </w:p>
    <w:p>
      <w:pPr>
        <w:pStyle w:val="BodyText"/>
      </w:pPr>
      <w:r>
        <w:rPr>
          <w:b/>
          <w:bCs/>
        </w:rPr>
        <w:t xml:space="preserve">Ethics statement.</w:t>
      </w:r>
      <w:r>
        <w:t xml:space="preserve"> </w:t>
      </w:r>
      <w:r>
        <w:t xml:space="preserve">Not applicable; the study used geospatial raster, vector and derived public-data products and did not involve human or animal participants.</w:t>
      </w:r>
    </w:p>
    <w:bookmarkEnd w:id="46"/>
    <w:bookmarkStart w:id="47"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et al.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Gorelick, N., et al.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et al. (2021). A patch-generating land use simulation model integrating multisource data for urban growth simulation.</w:t>
      </w:r>
      <w:r>
        <w:t xml:space="preserve"> </w:t>
      </w:r>
      <w:r>
        <w:rPr>
          <w:i/>
          <w:iCs/>
        </w:rPr>
        <w:t xml:space="preserve">Landscape and Urban Planning</w:t>
      </w:r>
      <w:r>
        <w:t xml:space="preserve">, 214, 104157. https://doi.org/10.1016/j.landurbplan.2021.104157</w:t>
      </w:r>
    </w:p>
    <w:p>
      <w:pPr>
        <w:pStyle w:val="BodyText"/>
      </w:pPr>
      <w:r>
        <w:t xml:space="preserve">Liu, X., et al.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GeoSOS team, Sun Yat-sen University. (n.d.). FLUS source code for non-commercial academic research. http://www.geosimulation.cn/FLUS-source-code.html (accessed 6 September 2026).</w:t>
      </w:r>
    </w:p>
    <w:p>
      <w:pPr>
        <w:pStyle w:val="BodyText"/>
      </w:pPr>
      <w:r>
        <w:t xml:space="preserve">OpenStreetMap contributors. (2026). OpenStreetMap data, Abu Dhabi relation R4479763 and Geofabrik GCC extract, accessed 31 July 2026. https://www.openstreetmap.org</w:t>
      </w:r>
    </w:p>
    <w:p>
      <w:pPr>
        <w:pStyle w:val="BodyText"/>
      </w:pPr>
      <w:r>
        <w:t xml:space="preserve">Pontius, R. G., Jr., Boersma, W., Castella, J.-C., et al. (2008). Comparing the input, output, and validation maps for several models of land change.</w:t>
      </w:r>
      <w:r>
        <w:t xml:space="preserve"> </w:t>
      </w:r>
      <w:r>
        <w:rPr>
          <w:i/>
          <w:iCs/>
        </w:rPr>
        <w:t xml:space="preserve">The Annals of Regional Science</w:t>
      </w:r>
      <w:r>
        <w:t xml:space="preserve">, 42, 11–37. DOI: 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DOI: 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https://doi.org/10.1016/S0198-9715(01)00017-8</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Rietveld, P., &amp; Verburg, P. H. (2011). Modeling land-use change with cellular automata: Issues and recommendations.</w:t>
      </w:r>
      <w:r>
        <w:t xml:space="preserve"> </w:t>
      </w:r>
      <w:r>
        <w:rPr>
          <w:i/>
          <w:iCs/>
        </w:rPr>
        <w:t xml:space="preserve">Journal of Land Use Science</w:t>
      </w:r>
      <w:r>
        <w:t xml:space="preserve">, 6, 247–265. https://doi.org/10.1080/1747423X.2011.562018</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et al. (2002). Modeling the spatial dynamics of regional land use: the CLUE-S model.</w:t>
      </w:r>
      <w:r>
        <w:t xml:space="preserve"> </w:t>
      </w:r>
      <w:r>
        <w:rPr>
          <w:i/>
          <w:iCs/>
        </w:rPr>
        <w:t xml:space="preserve">Environmental Management</w:t>
      </w:r>
      <w:r>
        <w:t xml:space="preserve">, 30, 391–405. https://doi.org/10.1007/s00267-002-2631-x</w:t>
      </w:r>
    </w:p>
    <w:p>
      <w:pPr>
        <w:pStyle w:val="BodyText"/>
      </w:pPr>
      <w:r>
        <w:t xml:space="preserve">Zanaga, D., et al. (2022). ESA WorldCover 10 m 2021 v200. Zenodo. https://doi.org/10.5281/zenodo.7254221</w:t>
      </w:r>
    </w:p>
    <w:bookmarkEnd w:id="47"/>
    <w:bookmarkStart w:id="48" w:name="supplementary-information-outline"/>
    <w:p>
      <w:pPr>
        <w:pStyle w:val="Heading2"/>
      </w:pPr>
      <w:r>
        <w:t xml:space="preserve">Supplementary information outline</w:t>
      </w:r>
    </w:p>
    <w:p>
      <w:pPr>
        <w:pStyle w:val="Compact"/>
        <w:numPr>
          <w:ilvl w:val="0"/>
          <w:numId w:val="1004"/>
        </w:numPr>
      </w:pPr>
      <w:r>
        <w:rPr>
          <w:b/>
          <w:bCs/>
        </w:rPr>
        <w:t xml:space="preserve">Supplementary Note 1:</w:t>
      </w:r>
      <w:r>
        <w:t xml:space="preserve"> </w:t>
      </w:r>
      <w:r>
        <w:t xml:space="preserve">Complete data crosswalk, quality metrics and public/proxy status.</w:t>
      </w:r>
    </w:p>
    <w:p>
      <w:pPr>
        <w:pStyle w:val="Compact"/>
        <w:numPr>
          <w:ilvl w:val="0"/>
          <w:numId w:val="1004"/>
        </w:numPr>
      </w:pPr>
      <w:r>
        <w:rPr>
          <w:b/>
          <w:bCs/>
        </w:rPr>
        <w:t xml:space="preserve">Supplementary Note 2:</w:t>
      </w:r>
      <w:r>
        <w:t xml:space="preserve"> </w:t>
      </w:r>
      <w:r>
        <w:t xml:space="preserve">Kernel runtime schemas, audit fields and adapter boundary.</w:t>
      </w:r>
    </w:p>
    <w:p>
      <w:pPr>
        <w:pStyle w:val="Compact"/>
        <w:numPr>
          <w:ilvl w:val="0"/>
          <w:numId w:val="1004"/>
        </w:numPr>
      </w:pPr>
      <w:r>
        <w:rPr>
          <w:b/>
          <w:bCs/>
        </w:rPr>
        <w:t xml:space="preserve">Supplementary Table S1:</w:t>
      </w:r>
      <w:r>
        <w:t xml:space="preserve"> </w:t>
      </w:r>
      <w:r>
        <w:t xml:space="preserve">Full 2025–2031 model–scenario objective matrix with per-seed values.</w:t>
      </w:r>
    </w:p>
    <w:p>
      <w:pPr>
        <w:pStyle w:val="Compact"/>
        <w:numPr>
          <w:ilvl w:val="0"/>
          <w:numId w:val="1004"/>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4"/>
        </w:numPr>
      </w:pPr>
      <w:r>
        <w:rPr>
          <w:b/>
          <w:bCs/>
        </w:rPr>
        <w:t xml:space="preserve">Supplementary Table S3:</w:t>
      </w:r>
      <w:r>
        <w:t xml:space="preserve"> </w:t>
      </w:r>
      <w:r>
        <w:t xml:space="preserve">FLUS 13-, 19- and 25-feature diagnostics, platform boundary and demand-underfill evidence (see</w:t>
      </w:r>
      <w:r>
        <w:t xml:space="preserve"> </w:t>
      </w:r>
      <w:r>
        <w:rPr>
          <w:rStyle w:val="VerbatimChar"/>
        </w:rPr>
        <w:t xml:space="preserve">supplementary_table_S3_flus_feature_diagnostics.md</w:t>
      </w:r>
      <w:r>
        <w:t xml:space="preserve">).</w:t>
      </w:r>
    </w:p>
    <w:p>
      <w:pPr>
        <w:pStyle w:val="Compact"/>
        <w:numPr>
          <w:ilvl w:val="0"/>
          <w:numId w:val="1004"/>
        </w:numPr>
      </w:pPr>
      <w:r>
        <w:rPr>
          <w:b/>
          <w:bCs/>
        </w:rPr>
        <w:t xml:space="preserve">Supplementary Table S4:</w:t>
      </w:r>
      <w:r>
        <w:t xml:space="preserve"> </w:t>
      </w:r>
      <w:r>
        <w:t xml:space="preserve">Raster and vector delivery audit, hashes and layer counts.</w:t>
      </w:r>
    </w:p>
    <w:p>
      <w:pPr>
        <w:pStyle w:val="Compact"/>
        <w:numPr>
          <w:ilvl w:val="0"/>
          <w:numId w:val="1004"/>
        </w:numPr>
      </w:pPr>
      <w:r>
        <w:rPr>
          <w:b/>
          <w:bCs/>
        </w:rPr>
        <w:t xml:space="preserve">Supplementary Figure S1:</w:t>
      </w:r>
      <w:r>
        <w:t xml:space="preserve"> </w:t>
      </w:r>
      <w:r>
        <w:t xml:space="preserve">Full 3-scenarios × 3-model 2031 new-built footprint atlas (</w:t>
      </w:r>
      <w:r>
        <w:rPr>
          <w:rStyle w:val="VerbatimChar"/>
        </w:rPr>
        <w:t xml:space="preserve">figures/figS01_planning_atlas_2031.*</w:t>
      </w:r>
      <w:r>
        <w:t xml:space="preserve">).</w:t>
      </w:r>
    </w:p>
    <w:p>
      <w:pPr>
        <w:pStyle w:val="Compact"/>
        <w:numPr>
          <w:ilvl w:val="0"/>
          <w:numId w:val="1004"/>
        </w:numPr>
      </w:pPr>
      <w:r>
        <w:rPr>
          <w:b/>
          <w:bCs/>
        </w:rPr>
        <w:t xml:space="preserve">Supplementary Figure S2:</w:t>
      </w:r>
      <w:r>
        <w:t xml:space="preserve"> </w:t>
      </w:r>
      <w:r>
        <w:t xml:space="preserve">Dynamic World confidence and high-confidence change sensitivity.</w:t>
      </w:r>
    </w:p>
    <w:p>
      <w:pPr>
        <w:pStyle w:val="Compact"/>
        <w:numPr>
          <w:ilvl w:val="0"/>
          <w:numId w:val="1004"/>
        </w:numPr>
      </w:pPr>
      <w:r>
        <w:rPr>
          <w:b/>
          <w:bCs/>
        </w:rPr>
        <w:t xml:space="preserve">Supplementary Figure S3:</w:t>
      </w:r>
      <w:r>
        <w:t xml:space="preserve"> </w:t>
      </w:r>
      <w:r>
        <w:t xml:space="preserve">Historical maps and change-error maps for 2024.</w:t>
      </w:r>
    </w:p>
    <w:p>
      <w:pPr>
        <w:pStyle w:val="Compact"/>
        <w:numPr>
          <w:ilvl w:val="0"/>
          <w:numId w:val="1004"/>
        </w:numPr>
      </w:pPr>
      <w:r>
        <w:rPr>
          <w:b/>
          <w:bCs/>
        </w:rPr>
        <w:t xml:space="preserve">Supplementary Figure S4:</w:t>
      </w:r>
      <w:r>
        <w:t xml:space="preserve"> </w:t>
      </w:r>
      <w:r>
        <w:t xml:space="preserve">Driver layers and experiment design in English.</w:t>
      </w:r>
    </w:p>
    <w:p>
      <w:r>
        <w:pict>
          <v:rect style="width:0;height:1.5pt" o:hralign="center" o:hrstd="t" o:hr="t"/>
        </w:pic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constrained geospatial allocation under noisy annual land-cover labels</dc:title>
  <dc:creator>Ning Zhou</dc:creator>
  <cp:keywords/>
  <dcterms:created xsi:type="dcterms:W3CDTF">2026-09-07T11:25:01Z</dcterms:created>
  <dcterms:modified xsi:type="dcterms:W3CDTF">2026-09-07T11:25:01Z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