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7.png" ContentType="image/png"/>
  <Override PartName="/word/media/rId34.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ranked first in all four Dynamic World targets from 2021 to 2024, but in only two of four matched ArcGIS-served targets; FLUS-style led in 2021 and GeoFM-LDN in 2022.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Kernel leads four Dynamic World and two of four matched ArcGIS folds.</w:t>
      </w:r>
    </w:p>
    <w:p>
      <w:pPr>
        <w:pStyle w:val="Compact"/>
        <w:numPr>
          <w:ilvl w:val="0"/>
          <w:numId w:val="1001"/>
        </w:numPr>
      </w:pPr>
      <w:r>
        <w:t xml:space="preserve">Proposal–projection–writeback traces preserve allocation auditability.</w:t>
      </w:r>
    </w:p>
    <w:p>
      <w:pPr>
        <w:pStyle w:val="Compact"/>
        <w:numPr>
          <w:ilvl w:val="0"/>
          <w:numId w:val="1001"/>
        </w:numPr>
      </w:pPr>
      <w:r>
        <w:t xml:space="preserve">ArcGIS-served labels extend the scenario origin state to 2025.</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2026). Its Sentinel-2 classification lineage follows the deep-learning mapping approach described by Karra et al. (2021).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top-class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Monthly</w:t>
      </w:r>
      <w:r>
        <w:t xml:space="preserve"> </w:t>
      </w:r>
      <w:r>
        <w:rPr>
          <w:rStyle w:val="VerbatimChar"/>
        </w:rPr>
        <w:t xml:space="preserve">NOAA/VIIRS/DNB/MONTHLY_V1/VCMSLCFG</w:t>
      </w:r>
      <w:r>
        <w:t xml:space="preserve"> </w:t>
      </w:r>
      <w:r>
        <w:t xml:space="preserve">night-time-light radiance was averaged by year (Elvidge et al., 2021). The Copernicus DEM GLO-30</w:t>
      </w:r>
      <w:r>
        <w:t xml:space="preserve"> </w:t>
      </w:r>
      <w:r>
        <w:rPr>
          <w:rStyle w:val="VerbatimChar"/>
        </w:rPr>
        <w:t xml:space="preserve">COPERNICUS/DEM/GLO30_2024_1</w:t>
      </w:r>
      <w:r>
        <w:t xml:space="preserve"> </w:t>
      </w:r>
      <w:r>
        <w:t xml:space="preserve">collection supplied elevation and a finite-difference slope derivative (European Space Agency, 2024).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scikit-learn histogram gradient-boosting classifier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mean top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planning conclusion was more stable than the historical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pPr>
      <w:r>
        <w:t xml:space="preserve">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1"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51"/>
    <w:bookmarkStart w:id="52"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2"/>
    <w:bookmarkStart w:id="53"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versioned v1 reproducibility release is archived at Zenodo v1.0.0 (https://doi.org/10.5281/zenodo.22663476), corresponding to GitHub tag</w:t>
      </w:r>
      <w:r>
        <w:t xml:space="preserve"> </w:t>
      </w:r>
      <w:r>
        <w:rPr>
          <w:rStyle w:val="VerbatimChar"/>
        </w:rPr>
        <w:t xml:space="preserve">v1.0.0</w:t>
      </w:r>
      <w:r>
        <w:t xml:space="preserve"> </w:t>
      </w:r>
      <w:r>
        <w:t xml:space="preserve">at commit</w:t>
      </w:r>
      <w:r>
        <w:t xml:space="preserve"> </w:t>
      </w:r>
      <w:r>
        <w:rPr>
          <w:rStyle w:val="VerbatimChar"/>
        </w:rPr>
        <w:t xml:space="preserve">2cbd2d3</w:t>
      </w:r>
      <w:r>
        <w:t xml:space="preserve">. The new cross-product evidence must receive a superseding versioned archive before submission; the existing DOI does not yet identify the unsubmitted v2 refresh. The v2 archive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w:t>
      </w:r>
      <w:r>
        <w:t xml:space="preserve"> </w:t>
      </w:r>
      <w:r>
        <w:rPr>
          <w:rStyle w:val="VerbatimChar"/>
        </w:rPr>
        <w:t xml:space="preserve">reproducibility_check.py</w:t>
      </w:r>
      <w:r>
        <w:t xml:space="preserve"> </w:t>
      </w:r>
      <w:r>
        <w:t xml:space="preserve">verifies both sets. Large rasters, GeoPackages and model checkpoints remain Git LFS objects in the GitHub repository; a full numerical rerun requires fetching those objects, whereas an automatically generated GitHub source ZIP may contain only LFS pointer files.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w:t>
      </w:r>
      <w:r>
        <w:t xml:space="preserve">and Supplementary Table S6 for the synchronized result;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bookmarkEnd w:id="53"/>
    <w:bookmarkStart w:id="54"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run_arcgis_historical_backtest.py</w:t>
      </w:r>
      <w:r>
        <w:t xml:space="preserve"> </w:t>
      </w:r>
      <w:r>
        <w:t xml:space="preserve">for both leakage-controlled product tracks;</w:t>
      </w:r>
    </w:p>
    <w:p>
      <w:pPr>
        <w:pStyle w:val="Compact"/>
        <w:numPr>
          <w:ilvl w:val="0"/>
          <w:numId w:val="1003"/>
        </w:numPr>
      </w:pPr>
      <w:r>
        <w:rPr>
          <w:rStyle w:val="VerbatimChar"/>
        </w:rPr>
        <w:t xml:space="preserve">analyze_product_robustness.py</w:t>
      </w:r>
      <w:r>
        <w:t xml:space="preserve">,</w:t>
      </w:r>
      <w:r>
        <w:t xml:space="preserve"> </w:t>
      </w:r>
      <w:r>
        <w:rPr>
          <w:rStyle w:val="VerbatimChar"/>
        </w:rPr>
        <w:t xml:space="preserve">source_data_fig04_product_robustness.csv</w:t>
      </w:r>
      <w:r>
        <w:t xml:space="preserve"> </w:t>
      </w:r>
      <w:r>
        <w:t xml:space="preserve">and</w:t>
      </w:r>
      <w:r>
        <w:t xml:space="preserve"> </w:t>
      </w:r>
      <w:r>
        <w:rPr>
          <w:rStyle w:val="VerbatimChar"/>
        </w:rPr>
        <w:t xml:space="preserve">supplementary_table_S6_product_robustness.md</w:t>
      </w:r>
      <w:r>
        <w:t xml:space="preserve"> </w:t>
      </w:r>
      <w:r>
        <w:t xml:space="preserve">for the cross-product analysis;</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public reproducibility release is</w:t>
      </w:r>
      <w:r>
        <w:t xml:space="preserve"> </w:t>
      </w:r>
      <w:r>
        <w:t xml:space="preserve">archived at Zenodo v1.0.0: https://doi.org/10.5281/zenodo.22663476. It</w:t>
      </w:r>
      <w:r>
        <w:t xml:space="preserve"> </w:t>
      </w:r>
      <w:r>
        <w:t xml:space="preserve">corresponds to GitHub tag</w:t>
      </w:r>
      <w:r>
        <w:t xml:space="preserve"> </w:t>
      </w:r>
      <w:r>
        <w:rPr>
          <w:rStyle w:val="VerbatimChar"/>
        </w:rPr>
        <w:t xml:space="preserve">v1.0.0</w:t>
      </w:r>
      <w:r>
        <w:t xml:space="preserve"> </w:t>
      </w:r>
      <w:r>
        <w:t xml:space="preserve">at commit</w:t>
      </w:r>
      <w:r>
        <w:t xml:space="preserve"> </w:t>
      </w:r>
      <w:r>
        <w:rPr>
          <w:rStyle w:val="VerbatimChar"/>
        </w:rPr>
        <w:t xml:space="preserve">2cbd2d3</w:t>
      </w:r>
      <w:r>
        <w:t xml:space="preserve">; the DOI identifies the</w:t>
      </w:r>
      <w:r>
        <w:t xml:space="preserve"> </w:t>
      </w:r>
      <w:r>
        <w:t xml:space="preserve">benchmark and software/data archive, not the eventual journal article DOI.</w:t>
      </w:r>
    </w:p>
    <w:bookmarkEnd w:id="54"/>
    <w:bookmarkStart w:id="55"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5"/>
    <w:bookmarkStart w:id="56"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European Space Agency. (2024). Copernicus DEM GLO-30: global 30 m digital elevation model [Data set]. Google Earth Engine Data Catalog. https://developers.google.com/earth-engine/datasets/catalog/COPERNICUS_DEM_GLO30_2024_1</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(2026). Sentinel-2 10m land cover time series of the world [Data set]. ArcGIS ImageServer. https://ic.imagery1.arcgis.com/arcgis/rest/services/Sentinel2_10m_LandCover/ImageServer (accessed 8 September 2026).</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6"/>
    <w:bookmarkStart w:id="57"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2026-09-10T10:45:33Z</dcterms:created>
  <dcterms:modified xsi:type="dcterms:W3CDTF">2026-09-10T10:45:33Z</dcterms:modified>
</cp:coreProperties>
</file>

<file path=docProps/custom.xml><?xml version="1.0" encoding="utf-8"?>
<Properties xmlns="http://schemas.openxmlformats.org/officeDocument/2006/custom-properties" xmlns:vt="http://schemas.openxmlformats.org/officeDocument/2006/docPropsVTypes"/>
</file>