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Cross-product backtests expose label dependence in model rankings.</w:t>
      </w:r>
    </w:p>
    <w:p>
      <w:pPr>
        <w:pStyle w:val="Compact"/>
        <w:numPr>
          <w:ilvl w:val="0"/>
          <w:numId w:val="1001"/>
        </w:numPr>
      </w:pPr>
      <w:r>
        <w:t xml:space="preserve">Kernel leads four Dynamic World and two of four matched ArcGIS folds.</w:t>
      </w:r>
    </w:p>
    <w:p>
      <w:pPr>
        <w:pStyle w:val="Compact"/>
        <w:numPr>
          <w:ilvl w:val="0"/>
          <w:numId w:val="1001"/>
        </w:numPr>
      </w:pPr>
      <w:r>
        <w:t xml:space="preserve">Proposal–projection–writeback traces preserve allocation auditability.</w:t>
      </w:r>
    </w:p>
    <w:p>
      <w:pPr>
        <w:pStyle w:val="Compact"/>
        <w:numPr>
          <w:ilvl w:val="0"/>
          <w:numId w:val="1001"/>
        </w:numPr>
      </w:pPr>
      <w:r>
        <w:t xml:space="preserve">ArcGIS-served labels extend the scenario origin state to 2025.</w:t>
      </w:r>
    </w:p>
    <w:p>
      <w:pPr>
        <w:pStyle w:val="Compact"/>
        <w:numPr>
          <w:ilvl w:val="0"/>
          <w:numId w:val="1001"/>
        </w:numPr>
      </w:pPr>
      <w:r>
        <w:t xml:space="preserve">The 2026–2031 maps remain 100-m stress tests, not statutory forecasts.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2026-09-10T10:45:42Z</dcterms:created>
  <dcterms:modified xsi:type="dcterms:W3CDTF">2026-09-10T10:45:42Z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