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7.png" ContentType="image/png"/>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Kernel leads four Dynamic World and two of four matched ArcGIS folds.</w:t>
      </w:r>
    </w:p>
    <w:p>
      <w:pPr>
        <w:pStyle w:val="Compact"/>
        <w:numPr>
          <w:ilvl w:val="0"/>
          <w:numId w:val="1001"/>
        </w:numPr>
      </w:pPr>
      <w:r>
        <w:t xml:space="preserve">Proposal–projection–writeback traces preserve allocation auditability.</w:t>
      </w:r>
    </w:p>
    <w:p>
      <w:pPr>
        <w:pStyle w:val="Compact"/>
        <w:numPr>
          <w:ilvl w:val="0"/>
          <w:numId w:val="1001"/>
        </w:numPr>
      </w:pPr>
      <w:r>
        <w:t xml:space="preserve">ArcGIS-served labels extend the scenario origin state to 2025.</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an archived source repository at an anonymized revision contains the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planning conclusion was more stable than the historical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pPr>
      <w:r>
        <w:t xml:space="preserve">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1"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modified</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51"/>
    <w:bookmarkStart w:id="52"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2"/>
    <w:bookmarkStart w:id="53"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3"/>
    <w:bookmarkStart w:id="54"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4"/>
    <w:bookmarkStart w:id="55"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5"/>
    <w:bookmarkStart w:id="56"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6"/>
    <w:bookmarkStart w:id="57" w:name="supplementary-information-outline"/>
    <w:p>
      <w:pPr>
        <w:pStyle w:val="Heading2"/>
      </w:pPr>
      <w:r>
        <w:t xml:space="preserve">Supplementary information outline</w:t>
      </w:r>
    </w:p>
    <w:p>
      <w:pPr>
        <w:pStyle w:val="Compact"/>
        <w:numPr>
          <w:ilvl w:val="0"/>
          <w:numId w:val="1002"/>
        </w:numPr>
      </w:pPr>
      <w:r>
        <w:rPr>
          <w:b/>
          <w:bCs/>
        </w:rPr>
        <w:t xml:space="preserve">Supplementary Note 1:</w:t>
      </w:r>
      <w:r>
        <w:t xml:space="preserve"> </w:t>
      </w:r>
      <w:r>
        <w:t xml:space="preserve">Complete data crosswalk, quality metrics and public/proxy status.</w:t>
      </w:r>
    </w:p>
    <w:p>
      <w:pPr>
        <w:pStyle w:val="Compact"/>
        <w:numPr>
          <w:ilvl w:val="0"/>
          <w:numId w:val="1002"/>
        </w:numPr>
      </w:pPr>
      <w:r>
        <w:rPr>
          <w:b/>
          <w:bCs/>
        </w:rPr>
        <w:t xml:space="preserve">Supplementary Note 2:</w:t>
      </w:r>
      <w:r>
        <w:t xml:space="preserve"> </w:t>
      </w:r>
      <w:r>
        <w:t xml:space="preserve">Kernel runtime schemas, audit fields and adapter boundary.</w:t>
      </w:r>
    </w:p>
    <w:p>
      <w:pPr>
        <w:pStyle w:val="Compact"/>
        <w:numPr>
          <w:ilvl w:val="0"/>
          <w:numId w:val="1002"/>
        </w:numPr>
      </w:pPr>
      <w:r>
        <w:rPr>
          <w:b/>
          <w:bCs/>
        </w:rPr>
        <w:t xml:space="preserve">Supplementary Table S1:</w:t>
      </w:r>
      <w:r>
        <w:t xml:space="preserve"> </w:t>
      </w:r>
      <w:r>
        <w:t xml:space="preserve">Full 2025–2031 model–scenario objective matrix with per-seed values.</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Raster and vector delivery audit, hashes and layer counts.</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2026-09-10T10:45:41Z</dcterms:created>
  <dcterms:modified xsi:type="dcterms:W3CDTF">2026-09-10T10:45:41Z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