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Title"/>
      </w:pPr>
      <w:r>
        <w:t>Auditing constrained geospatial allocation under annual land-cover product uncertainty</w:t>
      </w:r>
    </w:p>
    <w:p>
      <w:pPr>
        <w:pStyle w:val="Subtitle"/>
      </w:pPr>
      <w:r>
        <w:t>Ning Zhou</w:t>
        <w:br/>
        <w:t>Beijing Freedo Technology Co., Ltd.</w:t>
        <w:br/>
        <w:t>Corresponding author: zhouning@freedotech.com</w:t>
      </w:r>
    </w:p>
    <w:p>
      <w:pPr>
        <w:pStyle w:val="Heading2"/>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had the highest mean FoM in four Dynamic World targets and two matched ArcGIS-served targets; these numerical ranks did not uniformly imply paired-interval separation. Net-change allocation imposed product-specific count-only FoM upper bounds of 0.086–0.813 in the ArcGIS folds.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bookmarkStart w:id="10" w:name="highlights"/>
    <w:p>
      <w:pPr>
        <w:pStyle w:val="Heading2"/>
      </w:pPr>
      <w:r>
        <w:t xml:space="preserve">Highlights</w:t>
      </w:r>
    </w:p>
    <w:p>
      <w:pPr>
        <w:pStyle w:val="Compact"/>
        <w:numPr>
          <w:ilvl w:val="0"/>
          <w:numId w:val="1001"/>
        </w:numPr>
      </w:pPr>
      <w:r>
        <w:t xml:space="preserve">Cross-product backtests expose label dependence in model rankings.</w:t>
      </w:r>
    </w:p>
    <w:p>
      <w:pPr>
        <w:pStyle w:val="Compact"/>
        <w:numPr>
          <w:ilvl w:val="0"/>
          <w:numId w:val="1001"/>
        </w:numPr>
      </w:pPr>
      <w:r>
        <w:t xml:space="preserve">Numerical rankings depend on product and conditional paired uncertainty.</w:t>
      </w:r>
    </w:p>
    <w:p>
      <w:pPr>
        <w:pStyle w:val="Compact"/>
        <w:numPr>
          <w:ilvl w:val="0"/>
          <w:numId w:val="1001"/>
        </w:numPr>
      </w:pPr>
      <w:r>
        <w:t xml:space="preserve">Proposal–projection–writeback traces preserve allocation auditability.</w:t>
      </w:r>
    </w:p>
    <w:p>
      <w:pPr>
        <w:pStyle w:val="Compact"/>
        <w:numPr>
          <w:ilvl w:val="0"/>
          <w:numId w:val="1001"/>
        </w:numPr>
      </w:pPr>
      <w:r>
        <w:t xml:space="preserve">Net-change allocation restricts the attainable change-detection score.</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bookmarkEnd w:id="14"/>
    <w:bookmarkStart w:id="15" w:name="public-data-and-class-semantics"/>
    <w:p>
      <w:pPr>
        <w:pStyle w:val="Heading3"/>
      </w:pPr>
      <w:r>
        <w:t xml:space="preserve">Public data and class semantics</w:t>
      </w:r>
    </w:p>
    <w:p>
      <w:pPr>
        <w:pStyle w:val="FirstParagraph"/>
      </w:pPr>
      <w:r>
        <w:t xml:space="preserve">Dynamic World V1 supplies scene-level class probabilities and maximum-probability labels (Brown et al., 2022). We constructed annual labels by taking the temporal mode of the available scene labels before class crosswalking and export to the modelling grid. Annual composition is a processing choice of this study, not an official annual Dynamic World product. At each source pixel, the quality statistic is</w:t>
      </w:r>
      <w:r>
        <w:t xml:space="preserve"> </w:t>
      </w:r>
      <m:oMath>
        <m:sSub>
          <m:e>
            <m:r>
              <m:t>r</m:t>
            </m:r>
          </m:e>
          <m:sub>
            <m:r>
              <m:t>y</m:t>
            </m:r>
          </m:sub>
        </m:sSub>
        <m:r>
          <m:rPr>
            <m:sty m:val="p"/>
          </m:rPr>
          <m:t>=</m:t>
        </m:r>
        <m:sSub>
          <m:e>
            <m:r>
              <m:rPr>
                <m:sty m:val="p"/>
              </m:rPr>
              <m:t>max</m:t>
            </m:r>
          </m:e>
          <m:sub>
            <m:r>
              <m:t>c</m:t>
            </m:r>
          </m:sub>
        </m:sSub>
        <m:r>
          <m:rPr>
            <m:sty m:val="p"/>
          </m:rPr>
          <m:t>[</m:t>
        </m:r>
        <m:r>
          <m:rPr>
            <m:sty m:val="p"/>
          </m:rPr>
          <m:t>|</m:t>
        </m:r>
        <m:sSub>
          <m:e>
            <m:r>
              <m:t>T</m:t>
            </m:r>
          </m:e>
          <m:sub>
            <m:r>
              <m:t>y</m:t>
            </m:r>
          </m:sub>
        </m:sSub>
        <m:sSup>
          <m:e>
            <m:r>
              <m:rPr>
                <m:sty m:val="p"/>
              </m:rPr>
              <m:t>|</m:t>
            </m:r>
          </m:e>
          <m:sup>
            <m:r>
              <m:rPr>
                <m:sty m:val="p"/>
              </m:rPr>
              <m:t>−</m:t>
            </m:r>
            <m:r>
              <m:t>1</m:t>
            </m:r>
          </m:sup>
        </m:sSup>
        <m:nary>
          <m:naryPr>
            <m:chr m:val="∑"/>
            <m:limLoc m:val="undOvr"/>
            <m:subHide m:val="off"/>
            <m:supHide m:val="on"/>
          </m:naryPr>
          <m:sub>
            <m:r>
              <m:t>j</m:t>
            </m:r>
            <m:r>
              <m:rPr>
                <m:sty m:val="p"/>
              </m:rPr>
              <m:t>∈</m:t>
            </m:r>
            <m:sSub>
              <m:e>
                <m:r>
                  <m:t>T</m:t>
                </m:r>
              </m:e>
              <m:sub>
                <m:r>
                  <m:t>y</m:t>
                </m:r>
              </m:sub>
            </m:sSub>
          </m:sub>
          <m:sup>
            <m:r>
              <m:t>​</m:t>
            </m:r>
          </m:sup>
          <m:e>
            <m:sSub>
              <m:e>
                <m:r>
                  <m:t>p</m:t>
                </m:r>
              </m:e>
              <m:sub>
                <m:r>
                  <m:t>j</m:t>
                </m:r>
                <m:r>
                  <m:rPr>
                    <m:sty m:val="p"/>
                  </m:rPr>
                  <m:t>,</m:t>
                </m:r>
                <m:r>
                  <m:t>c</m:t>
                </m:r>
              </m:sub>
            </m:sSub>
          </m:e>
        </m:nary>
        <m:r>
          <m:rPr>
            <m:sty m:val="p"/>
          </m:rPr>
          <m:t>]</m:t>
        </m:r>
      </m:oMath>
      <w:r>
        <w:t xml:space="preserve">, where</w:t>
      </w:r>
      <w:r>
        <w:t xml:space="preserve"> </w:t>
      </w:r>
      <m:oMath>
        <m:sSub>
          <m:e>
            <m:r>
              <m:t>T</m:t>
            </m:r>
          </m:e>
          <m:sub>
            <m:r>
              <m:t>y</m:t>
            </m:r>
          </m:sub>
        </m:sSub>
      </m:oMath>
      <w:r>
        <w:t xml:space="preserve"> </w:t>
      </w:r>
      <w:r>
        <w:t xml:space="preserve">denotes valid scenes in year</w:t>
      </w:r>
      <w:r>
        <w:t xml:space="preserve"> </w:t>
      </w:r>
      <m:oMath>
        <m:r>
          <m:t>y</m:t>
        </m:r>
      </m:oMath>
      <w:r>
        <w:t xml:space="preserve"> </w:t>
      </w:r>
      <w:r>
        <w:t xml:space="preserve">and</w:t>
      </w:r>
      <w:r>
        <w:t xml:space="preserve"> </w:t>
      </w:r>
      <m:oMath>
        <m:r>
          <m:t>c</m:t>
        </m:r>
      </m:oMath>
      <w:r>
        <w:t xml:space="preserve"> </w:t>
      </w:r>
      <w:r>
        <w:t xml:space="preserve">indexes the nine source classes. Thus the operation is maximum of temporal mean probabilities, not temporal mean of scene-wise maxima; its maximizing class need not equal the annual modal label. The archived band name</w:t>
      </w:r>
      <w:r>
        <w:t xml:space="preserve"> </w:t>
      </w:r>
      <w:r>
        <w:rPr>
          <w:rStyle w:val="VerbatimChar"/>
        </w:rPr>
        <w:t xml:space="preserve">mean_top_probability</w:t>
      </w:r>
      <w:r>
        <w:t xml:space="preserve"> </w:t>
      </w:r>
      <w:r>
        <w:t xml:space="preserve">is retained for compatibility. This statistic is a weighting proxy, not a calibrated probability that the annual label is correct.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n.d.). The study by Karra et al. (2021) describes the classification lineage; it does not independently validate every annual layer or subsequent service revision. The materialization manifest, created on 9 September 2026, records the service URL, temporal extent, class mapping and SHA-256 hashes of the downloaded and aggregated rasters. No immutable upstream release identifier is recorded, so the reproducibility target is this archived snapshot rather than the changing live service. Source values were mapped to water (1), woody vegetation (2), wetland (4), low vegetation (5 and 11), built (7) and bare (8); snow/ice (9) and cloud (10) were excluded. Native 10-m labels were retained for audit, then aggregated after crosswalking by majority among usable cells in each 10 × 10 block. The resulting majority fraction served as the ArcGIS-track aggregation-quality term; it is not equivalent to Dynamic World’s maximum temporal-mean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The collection is GOOGLE/SATELLITE_EMBEDDING/V1/ANNUAL, with raster hashes recorded in the GEE input manifest; Brown et al. (2025) is cited as a preprint describing the embedding model.</w:t>
      </w:r>
    </w:p>
    <w:p>
      <w:pPr>
        <w:pStyle w:val="BodyText"/>
      </w:pPr>
      <w:r>
        <w:t xml:space="preserve">We formed the night-time-light driver from monthly</w:t>
      </w:r>
      <w:r>
        <w:t xml:space="preserve"> </w:t>
      </w:r>
      <w:r>
        <w:rPr>
          <w:rStyle w:val="VerbatimChar"/>
        </w:rPr>
        <w:t xml:space="preserve">NOAA/VIIRS/DNB/MONTHLY_V1/VCMSLCFG</w:t>
      </w:r>
      <w:r>
        <w:t xml:space="preserve"> </w:t>
      </w:r>
      <w:r>
        <w:t xml:space="preserve">composites (Earth Observation Group, n.d.). The implementation takes an unweighted mean of available, unmasked</w:t>
      </w:r>
      <w:r>
        <w:t xml:space="preserve"> </w:t>
      </w:r>
      <w:r>
        <w:rPr>
          <w:rStyle w:val="VerbatimChar"/>
        </w:rPr>
        <w:t xml:space="preserve">avg_rad</w:t>
      </w:r>
      <w:r>
        <w:t xml:space="preserve"> </w:t>
      </w:r>
      <w:r>
        <w:t xml:space="preserve">values within each calendar year; absent months are not imputed, and the collection is required to be nonempty rather than to contain twelve months. It does not apply an additional</w:t>
      </w:r>
      <w:r>
        <w:t xml:space="preserve"> </w:t>
      </w:r>
      <w:r>
        <w:rPr>
          <w:rStyle w:val="VerbatimChar"/>
        </w:rPr>
        <w:t xml:space="preserve">cf_cvg</w:t>
      </w:r>
      <w:r>
        <w:t xml:space="preserve"> </w:t>
      </w:r>
      <w:r>
        <w:t xml:space="preserve">mask or observation-count weighting. This author-generated annual feature is distinct from the annual product described by Elvidge et al. (2021), which is cited for background. The monthly product documentation recommends using cloud-free observation counts to assess coverage and notes that temporary lights and background values are not separated. Uneven coverage and transient illumination can therefore affect this driver.</w:t>
      </w:r>
    </w:p>
    <w:p>
      <w:pPr>
        <w:pStyle w:val="BodyText"/>
      </w:pPr>
      <w:r>
        <w:t xml:space="preserve">Copernicus DEM GLO-30 release</w:t>
      </w:r>
      <w:r>
        <w:t xml:space="preserve"> </w:t>
      </w:r>
      <w:r>
        <w:rPr>
          <w:rStyle w:val="VerbatimChar"/>
        </w:rPr>
        <w:t xml:space="preserve">2024_1</w:t>
      </w:r>
      <w:r>
        <w:t xml:space="preserve"> </w:t>
      </w:r>
      <w:r>
        <w:t xml:space="preserve">supplied surface elevation and a finite-difference slope derivative (Copernicus, 2024). This is a digital surface model (DSM) containing buildings, infrastructure and vegetation, not a bare-earth terrain model. Its release identifier is not an acquisition year; the catalogue lists a 2010–2020 observation range. We have not established tile-specific acquisition dates or quantified urban surface-object effects on slope, so it is treated as a static retrospective covariate. OpenStreetMap road geometries from the Geofabrik GCC snapshot</w:t>
      </w:r>
      <w:r>
        <w:t xml:space="preserve"> </w:t>
      </w:r>
      <w:r>
        <w:rPr>
          <w:rStyle w:val="VerbatimChar"/>
        </w:rPr>
        <w:t xml:space="preserve">gcc-states-260731.osm.pbf</w:t>
      </w:r>
      <w:r>
        <w:t xml:space="preserve"> </w:t>
      </w:r>
      <w:r>
        <w:t xml:space="preserve">were rasterized into distance-to-road and distance-to-major-road surfaces (Geofabrik, 2026). The source URL, snapshot date and SHA-256 are preserved in</w:t>
      </w:r>
      <w:r>
        <w:t xml:space="preserve"> </w:t>
      </w:r>
      <w:r>
        <w:rPr>
          <w:rStyle w:val="VerbatimChar"/>
        </w:rPr>
        <w:t xml:space="preserve">osm_input_manifest.json</w:t>
      </w:r>
      <w:r>
        <w:t xml:space="preserve">; the city geometry is separately recorded in</w:t>
      </w:r>
      <w:r>
        <w:t xml:space="preserve"> </w:t>
      </w:r>
      <w:r>
        <w:rPr>
          <w:rStyle w:val="VerbatimChar"/>
        </w:rPr>
        <w:t xml:space="preserve">boundary_manifest.json</w:t>
      </w:r>
      <w:r>
        <w:t xml:space="preserve">.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The HistGradientBoostingClassifier implementation in scikit-learn 1.9.0, as specified in the archived environment lock,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maximum temporal-mean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This projection is a minimum-change allocator. Let</w:t>
      </w:r>
      <w:r>
        <w:t xml:space="preserve"> </w:t>
      </w:r>
      <m:oMath>
        <m:sSub>
          <m:e>
            <m:r>
              <m:t>n</m:t>
            </m:r>
          </m:e>
          <m:sub>
            <m:r>
              <m:t>c</m:t>
            </m:r>
          </m:sub>
        </m:sSub>
      </m:oMath>
      <w:r>
        <w:t xml:space="preserve"> </w:t>
      </w:r>
      <w:r>
        <w:t xml:space="preserve">and</w:t>
      </w:r>
      <w:r>
        <w:t xml:space="preserve"> </w:t>
      </w:r>
      <m:oMath>
        <m:sSub>
          <m:e>
            <m:r>
              <m:t>a</m:t>
            </m:r>
          </m:e>
          <m:sub>
            <m:r>
              <m:t>c</m:t>
            </m:r>
          </m:sub>
        </m:sSub>
      </m:oMath>
      <w:r>
        <w:t xml:space="preserve"> </w:t>
      </w:r>
      <w:r>
        <w:t xml:space="preserve">be origin and feasible target counts. The number of changed cells is exactly</w:t>
      </w:r>
      <w:r>
        <w:t xml:space="preserve"> </w:t>
      </w:r>
      <m:oMath>
        <m:r>
          <m:t>M</m:t>
        </m:r>
        <m:r>
          <m:rPr>
            <m:sty m:val="p"/>
          </m:rPr>
          <m:t>=</m:t>
        </m:r>
        <m:f>
          <m:fPr>
            <m:type m:val="bar"/>
          </m:fPr>
          <m:num>
            <m:r>
              <m:t>1</m:t>
            </m:r>
          </m:num>
          <m:den>
            <m:r>
              <m:t>2</m:t>
            </m:r>
          </m:den>
        </m:f>
        <m:nary>
          <m:naryPr>
            <m:chr m:val="∑"/>
            <m:limLoc m:val="undOvr"/>
            <m:subHide m:val="off"/>
            <m:supHide m:val="on"/>
          </m:naryPr>
          <m:sub>
            <m:r>
              <m:t>c</m:t>
            </m:r>
          </m:sub>
          <m:sup>
            <m:r>
              <m:t>​</m:t>
            </m:r>
          </m:sup>
          <m:e>
            <m:r>
              <m:rPr>
                <m:sty m:val="p"/>
              </m:rPr>
              <m:t>|</m:t>
            </m:r>
          </m:e>
        </m:nary>
        <m:sSub>
          <m:e>
            <m:r>
              <m:t>a</m:t>
            </m:r>
          </m:e>
          <m:sub>
            <m:r>
              <m:t>c</m:t>
            </m:r>
          </m:sub>
        </m:sSub>
        <m:r>
          <m:rPr>
            <m:sty m:val="p"/>
          </m:rPr>
          <m:t>−</m:t>
        </m:r>
        <m:sSub>
          <m:e>
            <m:r>
              <m:t>n</m:t>
            </m:r>
          </m:e>
          <m:sub>
            <m:r>
              <m:t>c</m:t>
            </m:r>
          </m:sub>
        </m:sSub>
        <m:r>
          <m:rPr>
            <m:sty m:val="p"/>
          </m:rPr>
          <m:t>|</m:t>
        </m:r>
      </m:oMath>
      <w:r>
        <w:t xml:space="preserve">. A class can supply cells or receive cells in one step, but cannot do both; unchanged class totals therefore suppress within-class gross gain/loss exchanges. This is a substantive restriction on land-cover dynamics, shared by GeoFM-LDN through its use of the same allocator, rather than a consequence of exact-count constraints in general. With</w:t>
      </w:r>
      <w:r>
        <w:t xml:space="preserve"> </w:t>
      </w:r>
      <m:oMath>
        <m:r>
          <m:t>O</m:t>
        </m:r>
      </m:oMath>
      <w:r>
        <w:t xml:space="preserve"> </w:t>
      </w:r>
      <w:r>
        <w:t xml:space="preserve">observed changed cells, strict FoM is bounded above by</w:t>
      </w:r>
      <w:r>
        <w:t xml:space="preserve"> </w:t>
      </w:r>
      <m:oMath>
        <m:r>
          <m:rPr>
            <m:sty m:val="p"/>
          </m:rPr>
          <m:t>min</m:t>
        </m:r>
        <m:r>
          <m:rPr>
            <m:sty m:val="p"/>
          </m:rPr>
          <m:t>(</m:t>
        </m:r>
        <m:r>
          <m:t>M</m:t>
        </m:r>
        <m:r>
          <m:rPr>
            <m:sty m:val="p"/>
          </m:rPr>
          <m:t>,</m:t>
        </m:r>
        <m:r>
          <m:t>O</m:t>
        </m:r>
        <m:r>
          <m:rPr>
            <m:sty m:val="p"/>
          </m:rPr>
          <m:t>)</m:t>
        </m:r>
        <m:r>
          <m:rPr>
            <m:sty m:val="p"/>
          </m:rPr>
          <m:t>/</m:t>
        </m:r>
        <m:r>
          <m:rPr>
            <m:sty m:val="p"/>
          </m:rPr>
          <m:t>max</m:t>
        </m:r>
        <m:r>
          <m:rPr>
            <m:sty m:val="p"/>
          </m:rPr>
          <m:t>(</m:t>
        </m:r>
        <m:r>
          <m:t>M</m:t>
        </m:r>
        <m:r>
          <m:rPr>
            <m:sty m:val="p"/>
          </m:rPr>
          <m:t>,</m:t>
        </m:r>
        <m:r>
          <m:t>O</m:t>
        </m:r>
        <m:r>
          <m:rPr>
            <m:sty m:val="p"/>
          </m:rPr>
          <m:t>)</m:t>
        </m:r>
      </m:oMath>
      <w:r>
        <w:t xml:space="preserve"> </w:t>
      </w:r>
      <w:r>
        <w:t xml:space="preserve">when the denominator is nonzero. This is a loose count-only bound, not an attainable optimum: destination classes, hard masks and spatial restrictions can further reduce attainable hits. Supplementary Table S7 derives the bound from the frozen fold reports and checks predicted moves against origin and feasible target counts. We do not divide observed FoM by this bound or interpret such a ratio as independently validated skill.</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green-priority label denotes a vegetation-quantity sensitivity action, not demonstrated ecological sustainability.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keepNext/>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keepLines/>
      </w:pPr>
      <w:r>
        <w:t>Figure 1. 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X3f5e228b10c7eb77c564f813ab2c4e4911c7a74"/>
    <w:p>
      <w:pPr>
        <w:pStyle w:val="Heading3"/>
      </w:pPr>
      <w:r>
        <w:t xml:space="preserve">Secondary historical benchmark and planning objective definitions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keepNext/>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keepLines/>
      </w:pPr>
      <w:r>
        <w:t>Figure 2. 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maximum temporal-mean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keepNext/>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keepLines/>
      </w:pPr>
      <w:r>
        <w:t>Figure 3. 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led the ArcGIS-served 2021 target</w:t>
      </w:r>
      <w:r>
        <w:t xml:space="preserve"> </w:t>
      </w:r>
      <w:r>
        <w:t xml:space="preserve">(0.0625 versus Kernel 0.0154 and GeoFM-LDN 0.0314),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Thus the learned</w:t>
      </w:r>
      <w:r>
        <w:t xml:space="preserve"> </w:t>
      </w:r>
      <w:r>
        <w:t xml:space="preserve">allocator contains repeatable spatial signal relative to its zero model, while</w:t>
      </w:r>
      <w:r>
        <w:t xml:space="preserve"> </w:t>
      </w:r>
      <w:r>
        <w:t xml:space="preserve">its absolute score and rank remain dependent on the product pipeline. Supplementary</w:t>
      </w:r>
      <w:r>
        <w:t xml:space="preserve"> </w:t>
      </w:r>
      <w:r>
        <w:t xml:space="preserve">Table S7 reports all seed-specific paired intervals for Kernel versus FLUS-style</w:t>
      </w:r>
      <w:r>
        <w:t xml:space="preserve"> </w:t>
      </w:r>
      <w:r>
        <w:t xml:space="preserve">and GeoFM-LDN versus Kernel. In the ArcGIS 2023 target, all three GeoFM-LDN-minus-</w:t>
      </w:r>
      <w:r>
        <w:t xml:space="preserve"> </w:t>
      </w:r>
      <w:r>
        <w:t xml:space="preserve">Kernel intervals include zero despite Kernel’s higher mean; in 2024, two exclude</w:t>
      </w:r>
      <w:r>
        <w:t xml:space="preserve"> </w:t>
      </w:r>
      <w:r>
        <w:t xml:space="preserve">zero in Kernel’s favour and one includes zero. These are conditional intervals,</w:t>
      </w:r>
      <w:r>
        <w:t xml:space="preserve"> </w:t>
      </w:r>
      <w:r>
        <w:t xml:space="preserve">not a pooled ranking test. The additional ArcGIS 2025 target gives mean FoM of</w:t>
      </w:r>
      <w:r>
        <w:t xml:space="preserve"> </w:t>
      </w:r>
      <w:r>
        <w:t xml:space="preserve">0.0731 for FLUS-style, 0.0654 for GeoFM-LDN and 0.0579 for Kernel; Kernel is</w:t>
      </w:r>
      <w:r>
        <w:t xml:space="preserve"> </w:t>
      </w:r>
      <w:r>
        <w:t xml:space="preserve">therefore not the numerical leader in the latest year. Block-size sensitivity</w:t>
      </w:r>
      <w:r>
        <w:t xml:space="preserve"> </w:t>
      </w:r>
      <w:r>
        <w:t xml:space="preserve">has not been established, and repeated seeds do not constitute independent</w:t>
      </w:r>
      <w:r>
        <w:t xml:space="preserve"> </w:t>
      </w:r>
      <w:r>
        <w:t xml:space="preserve">spatial or temporal replication.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count-only analysis exposes an additional source of score dependence. In</w:t>
      </w:r>
      <w:r>
        <w:t xml:space="preserve"> </w:t>
      </w:r>
      <w:r>
        <w:t xml:space="preserve">the ArcGIS 2021 fold, the minimum-change action permits 278 moves against 3,241</w:t>
      </w:r>
      <w:r>
        <w:t xml:space="preserve"> </w:t>
      </w:r>
      <w:r>
        <w:t xml:space="preserve">observed changes, bounding strict FoM at 0.0858 even before destination or</w:t>
      </w:r>
      <w:r>
        <w:t xml:space="preserve"> </w:t>
      </w:r>
      <w:r>
        <w:t xml:space="preserve">hard-mask restrictions. In 2022, 6,864 permitted moves against 8,446 observed</w:t>
      </w:r>
      <w:r>
        <w:t xml:space="preserve"> </w:t>
      </w:r>
      <w:r>
        <w:t xml:space="preserve">changes give a much higher bound of 0.8127. The corresponding Dynamic World</w:t>
      </w:r>
      <w:r>
        <w:t xml:space="preserve"> </w:t>
      </w:r>
      <w:r>
        <w:t xml:space="preserve">bounds are 0.4590 and 0.2885. All nine fold bounds and observed scores are</w:t>
      </w:r>
      <w:r>
        <w:t xml:space="preserve"> </w:t>
      </w:r>
      <w:r>
        <w:t xml:space="preserve">reported in Supplementary Table S7. The reversal in these bounds means that</w:t>
      </w:r>
      <w:r>
        <w:t xml:space="preserve"> </w:t>
      </w:r>
      <w:r>
        <w:t xml:space="preserve">cross-product FoM differences combine allocation skill with the relationship</w:t>
      </w:r>
      <w:r>
        <w:t xml:space="preserve"> </w:t>
      </w:r>
      <w:r>
        <w:t xml:space="preserve">between net and gross product change. It does not identify which product is</w:t>
      </w:r>
      <w:r>
        <w:t xml:space="preserve"> </w:t>
      </w:r>
      <w:r>
        <w:t xml:space="preserve">more accurate or establish the performance of an allocator allowing simultaneous</w:t>
      </w:r>
      <w:r>
        <w:t xml:space="preserve"> </w:t>
      </w:r>
      <w:r>
        <w:t xml:space="preserve">gain and loss of each class.</w:t>
      </w:r>
    </w:p>
    <w:p>
      <w:pPr>
        <w:pStyle w:val="BodyText"/>
      </w:pPr>
      <w:r>
        <w:t xml:space="preserve">Frontier membership was more stable than the historical numerical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Identical membership among</w:t>
      </w:r>
      <w:r>
        <w:t xml:space="preserve"> </w:t>
      </w:r>
      <w:r>
        <w:t xml:space="preserve">three candidates does not establish spatial agreement of their allocations or</w:t>
      </w:r>
      <w:r>
        <w:t xml:space="preserve"> </w:t>
      </w:r>
      <w:r>
        <w:t xml:space="preserve">stability of planning benefits. Product-specific origins, horizons and actions</w:t>
      </w:r>
      <w:r>
        <w:t xml:space="preserve"> </w:t>
      </w:r>
      <w:r>
        <w:t xml:space="preserve">also differ; this is not a controlled experiment holding demand and initial</w:t>
      </w:r>
      <w:r>
        <w:t xml:space="preserve"> </w:t>
      </w:r>
      <w:r>
        <w:t xml:space="preserve">conditions fixed.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keepNext/>
      </w:pPr>
      <w:r>
        <w:drawing>
          <wp:inline>
            <wp:extent cx="5334000" cy="4641981"/>
            <wp:effectExtent b="0" l="0" r="0" t="0"/>
            <wp:docPr descr="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641981"/>
                    </a:xfrm>
                    <a:prstGeom prst="rect">
                      <a:avLst/>
                    </a:prstGeom>
                    <a:noFill/>
                    <a:ln w="9525">
                      <a:noFill/>
                      <a:headEnd/>
                      <a:tailEnd/>
                    </a:ln>
                  </pic:spPr>
                </pic:pic>
              </a:graphicData>
            </a:graphic>
          </wp:inline>
        </w:drawing>
      </w:r>
    </w:p>
    <w:p>
      <w:pPr>
        <w:pStyle w:val="ImageCaption"/>
        <w:keepLines/>
      </w:pPr>
      <w:r>
        <w:t>Figure 4. 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5.</w:t>
      </w:r>
    </w:p>
    <w:p>
      <w:pPr>
        <w:pStyle w:val="CaptionedFigure"/>
        <w:keepNext/>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4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keepLines/>
      </w:pPr>
      <w:r>
        <w:t>Figure 5. 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keepNext/>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5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keepLines/>
      </w:pPr>
      <w:r>
        <w:t>Figure 6. 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Kernel and GeoFM-LDN seed-level projections</w:t>
      </w:r>
      <w:r>
        <w:t xml:space="preserve"> </w:t>
      </w:r>
      <w:r>
        <w:t xml:space="preserve">meet their feasible class totals, whereas the finite-iteration FLUS control can</w:t>
      </w:r>
      <w:r>
        <w:t xml:space="preserve"> </w:t>
      </w:r>
      <w:r>
        <w:t xml:space="preserve">retain demand error. Majority voting can produce a different raster and therefore</w:t>
      </w:r>
      <w:r>
        <w:t xml:space="preserve"> </w:t>
      </w:r>
      <w:r>
        <w:t xml:space="preserve">a non-zero ensemble error even for an exact-count allocator. The constraint-</w:t>
      </w:r>
      <w:r>
        <w:t xml:space="preserve"> </w:t>
      </w:r>
      <w:r>
        <w:t xml:space="preserve">preserving claim applies to individual projected members, not to count preservation</w:t>
      </w:r>
      <w:r>
        <w:t xml:space="preserve"> </w:t>
      </w:r>
      <w:r>
        <w:t xml:space="preserve">in the majority-vote delivery. Those ensembles are descriptive consensus maps.</w:t>
      </w:r>
      <w:r>
        <w:t xml:space="preserve"> </w:t>
      </w:r>
      <w:r>
        <w:t xml:space="preserve">Any use requiring exact totals must select and audit a feasible seed-level member</w:t>
      </w:r>
      <w:r>
        <w:t xml:space="preserve"> </w:t>
      </w:r>
      <w:r>
        <w:t xml:space="preserve">or reproject the consensus, with objective values recomputed on that final map.</w:t>
      </w:r>
      <w:r>
        <w:t xml:space="preserve"> </w:t>
      </w:r>
      <w:r>
        <w:t xml:space="preserve">No such reprojected ensemble is evaluated here.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keepNext/>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6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keepLines/>
      </w:pPr>
      <w:r>
        <w:t>Figure 7. 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2"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Sharing this information does not guarantee an unchanged model ordering,</w:t>
      </w:r>
      <w:r>
        <w:t xml:space="preserve"> </w:t>
      </w:r>
      <w:r>
        <w:t xml:space="preserve">because learners can exploit it differently; the strict rolling-origin analysis removes those road</w:t>
      </w:r>
      <w:r>
        <w:t xml:space="preserve"> </w:t>
      </w:r>
      <w:r>
        <w:t xml:space="preserve">features. This firewall controls downstream target-label use and the late road snapshot; it does not establish that retrospective global products, pretrained embeddings or the static DSM were available to a forecaster at each historical origin.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the respective</w:t>
      </w:r>
      <w:r>
        <w:t xml:space="preserve"> </w:t>
      </w:r>
      <w:r>
        <w:t xml:space="preserve">2024 or 2025 origin-year values,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Start w:id="51" w:name="Xc747f5f68438c4d1b672214b96bce9a17077e90"/>
    <w:p>
      <w:pPr>
        <w:pStyle w:val="Heading3"/>
      </w:pPr>
      <w:r>
        <w:t xml:space="preserve">Implications for planning use and validation</w:t>
      </w:r>
    </w:p>
    <w:p>
      <w:pPr>
        <w:pStyle w:val="FirstParagraph"/>
      </w:pPr>
      <w:r>
        <w:t xml:space="preserve">The practical role of this protocol is to expose where a public-data scenario</w:t>
      </w:r>
      <w:r>
        <w:t xml:space="preserve"> </w:t>
      </w:r>
      <w:r>
        <w:t xml:space="preserve">depends on observational definitions and allocation restrictions before a</w:t>
      </w:r>
      <w:r>
        <w:t xml:space="preserve"> </w:t>
      </w:r>
      <w:r>
        <w:t xml:space="preserve">planner treats its map as evidence. Stable frontier membership is insufficient</w:t>
      </w:r>
      <w:r>
        <w:t xml:space="preserve"> </w:t>
      </w:r>
      <w:r>
        <w:t xml:space="preserve">for selecting a site or infrastructure corridor: a decision also requires the</w:t>
      </w:r>
      <w:r>
        <w:t xml:space="preserve"> </w:t>
      </w:r>
      <w:r>
        <w:t xml:space="preserve">spatial overlap and disagreement of new-built locations, feasible water and</w:t>
      </w:r>
      <w:r>
        <w:t xml:space="preserve"> </w:t>
      </w:r>
      <w:r>
        <w:t xml:space="preserve">infrastructure demands, and the magnitude of the objective differences. These</w:t>
      </w:r>
      <w:r>
        <w:t xml:space="preserve"> </w:t>
      </w:r>
      <w:r>
        <w:t xml:space="preserve">decision-level tests have not been completed here. The existing frontier is a</w:t>
      </w:r>
      <w:r>
        <w:t xml:space="preserve"> </w:t>
      </w:r>
      <w:r>
        <w:t xml:space="preserve">conditional comparison of three implementations, not a search over all feasible</w:t>
      </w:r>
      <w:r>
        <w:t xml:space="preserve"> </w:t>
      </w:r>
      <w:r>
        <w:t xml:space="preserve">plans or a recommendation that either retained model should determine land use.</w:t>
      </w:r>
    </w:p>
    <w:p>
      <w:pPr>
        <w:pStyle w:val="BodyText"/>
      </w:pPr>
      <w:r>
        <w:t xml:space="preserve">The next validation step should use a spatially stratified reference sample of</w:t>
      </w:r>
      <w:r>
        <w:t xml:space="preserve"> </w:t>
      </w:r>
      <w:r>
        <w:t xml:space="preserve">product-agreement changes, product-disagreement changes and stable cells, assessed</w:t>
      </w:r>
      <w:r>
        <w:t xml:space="preserve"> </w:t>
      </w:r>
      <w:r>
        <w:t xml:space="preserve">from contemporaneous independent imagery or locally approved records. Reference</w:t>
      </w:r>
      <w:r>
        <w:t xml:space="preserve"> </w:t>
      </w:r>
      <w:r>
        <w:t xml:space="preserve">interpretation should be blinded to model identity, record ambiguous cases and</w:t>
      </w:r>
      <w:r>
        <w:t xml:space="preserve"> </w:t>
      </w:r>
      <w:r>
        <w:t xml:space="preserve">report sampling weights and class-specific gain/loss accuracy. In parallel, a</w:t>
      </w:r>
      <w:r>
        <w:t xml:space="preserve"> </w:t>
      </w:r>
      <w:r>
        <w:t xml:space="preserve">transition-budget allocator permitting simultaneous gain and loss should be</w:t>
      </w:r>
      <w:r>
        <w:t xml:space="preserve"> </w:t>
      </w:r>
      <w:r>
        <w:t xml:space="preserve">compared with the minimum-change projection under the same proposal and masks.</w:t>
      </w:r>
      <w:r>
        <w:t xml:space="preserve"> </w:t>
      </w:r>
      <w:r>
        <w:t xml:space="preserve">Neither independent reference validation nor this gross-transition experiment</w:t>
      </w:r>
      <w:r>
        <w:t xml:space="preserve"> </w:t>
      </w:r>
      <w:r>
        <w:t xml:space="preserve">has been performed. They are requirements for extending the present conditional</w:t>
      </w:r>
      <w:r>
        <w:t xml:space="preserve"> </w:t>
      </w:r>
      <w:r>
        <w:t xml:space="preserve">allocation findings to operational planning claims.</w:t>
      </w:r>
    </w:p>
    <w:bookmarkEnd w:id="51"/>
    <w:bookmarkEnd w:id="52"/>
    <w:bookmarkStart w:id="53" w:name="conclusions"/>
    <w:p>
      <w:pPr>
        <w:pStyle w:val="Heading2"/>
      </w:pPr>
      <w:r>
        <w:t xml:space="preserve">Conclusions</w:t>
      </w:r>
    </w:p>
    <w:p>
      <w:pPr>
        <w:pStyle w:val="FirstParagraph"/>
      </w:pPr>
      <w:r>
        <w:t xml:space="preserve">Replacing Dynamic World with a newer ArcGIS-served 10-m annual product did not</w:t>
      </w:r>
      <w:r>
        <w:t xml:space="preserve"> </w:t>
      </w:r>
      <w:r>
        <w:t xml:space="preserve">simply raise or lower every score. It changed mapped built stock, transition</w:t>
      </w:r>
      <w:r>
        <w:t xml:space="preserve"> </w:t>
      </w:r>
      <w:r>
        <w:t xml:space="preserve">prevalence and the leading model by year. Geospatial Kernel remained consistently</w:t>
      </w:r>
      <w:r>
        <w:t xml:space="preserve"> </w:t>
      </w:r>
      <w:r>
        <w:t xml:space="preserve">better than random minimum-change allocation, but it was not universally the</w:t>
      </w:r>
      <w:r>
        <w:t xml:space="preserve"> </w:t>
      </w:r>
      <w:r>
        <w:t xml:space="preserve">best learned model. Its strongest transferable property in this experiment is</w:t>
      </w:r>
      <w:r>
        <w:t xml:space="preserve"> </w:t>
      </w:r>
      <w:r>
        <w:t xml:space="preserve">therefore the auditable separation of learned proposal, constrained projection</w:t>
      </w:r>
      <w:r>
        <w:t xml:space="preserve"> </w:t>
      </w:r>
      <w:r>
        <w:t xml:space="preserve">and state writeback, not a product-independent accuracy claim. The count-only bounds further show</w:t>
      </w:r>
      <w:r>
        <w:t xml:space="preserve"> </w:t>
      </w:r>
      <w:r>
        <w:t xml:space="preserve">that net-change allocation can suppress much of the gross change represented by</w:t>
      </w:r>
      <w:r>
        <w:t xml:space="preserve"> </w:t>
      </w:r>
      <w:r>
        <w:t xml:space="preserve">a product; future work must separate that restriction from proposal-model skill.</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3"/>
    <w:bookmarkStart w:id="54"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and</w:t>
      </w:r>
      <w:r>
        <w:t xml:space="preserve"> </w:t>
      </w:r>
      <w:r>
        <w:rPr>
          <w:rStyle w:val="VerbatimChar"/>
        </w:rPr>
        <w:t xml:space="preserve">benchmarks/abu_dhabi_land_use_v2/</w:t>
      </w:r>
      <w:r>
        <w:t xml:space="preserve"> </w:t>
      </w:r>
      <w:r>
        <w:t xml:space="preserve">in the accompanying repository. The ArcGIS-served cross-product source release is archived at Zenodo v2.0.0 (https://doi.org/10.5281/zenodo.22689057), corresponding to GitHub tag</w:t>
      </w:r>
      <w:r>
        <w:t xml:space="preserve"> </w:t>
      </w:r>
      <w:r>
        <w:rPr>
          <w:rStyle w:val="VerbatimChar"/>
        </w:rPr>
        <w:t xml:space="preserve">v2.0.0</w:t>
      </w:r>
      <w:r>
        <w:t xml:space="preserve"> </w:t>
      </w:r>
      <w:r>
        <w:t xml:space="preserve">at commit</w:t>
      </w:r>
      <w:r>
        <w:t xml:space="preserve"> </w:t>
      </w:r>
      <w:r>
        <w:rPr>
          <w:rStyle w:val="VerbatimChar"/>
        </w:rPr>
        <w:t xml:space="preserve">77e2c59</w:t>
      </w:r>
      <w:r>
        <w:t xml:space="preserve">; the version-independent concept DOI is https://doi.org/10.5281/zenodo.22663475. The v2 release is defined by</w:t>
      </w:r>
      <w:r>
        <w:t xml:space="preserve"> </w:t>
      </w:r>
      <w:r>
        <w:rPr>
          <w:rStyle w:val="VerbatimChar"/>
        </w:rPr>
        <w:t xml:space="preserve">reproducibility/MANIFEST.json</w:t>
      </w:r>
      <w:r>
        <w:t xml:space="preserve"> </w:t>
      </w:r>
      <w:r>
        <w:t xml:space="preserve">(immutable inputs, assets and code) and</w:t>
      </w:r>
      <w:r>
        <w:t xml:space="preserve"> </w:t>
      </w:r>
      <w:r>
        <w:rPr>
          <w:rStyle w:val="VerbatimChar"/>
        </w:rPr>
        <w:t xml:space="preserve">reproducibility/PUBLICATION_OUTPUTS.json</w:t>
      </w:r>
      <w:r>
        <w:t xml:space="preserve"> </w:t>
      </w:r>
      <w:r>
        <w:t xml:space="preserve">(reports, source data, figures and delivered rasters/vectors);</w:t>
      </w:r>
      <w:r>
        <w:t xml:space="preserve"> </w:t>
      </w:r>
      <w:r>
        <w:rPr>
          <w:rStyle w:val="VerbatimChar"/>
        </w:rPr>
        <w:t xml:space="preserve">reproducibility_check.py</w:t>
      </w:r>
      <w:r>
        <w:t xml:space="preserve"> </w:t>
      </w:r>
      <w:r>
        <w:t xml:space="preserve">verifies both sets. The Zenodo record contains GitHub’s automatically generated source ZIP, which was inspected after publication and contains Git LFS pointers rather than hydrated large rasters, GeoPackages and model checkpoints. A full numerical rerun therefore requires checking out the tagged GitHub repository, retrieving its LFS objects and passing both v2 manifest checks; the DOI record alone is not a self-contained binary-data archive.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artifacts/rolling_backtest/report.json</w:t>
      </w:r>
      <w:r>
        <w:t xml:space="preserve"> </w:t>
      </w:r>
      <w:r>
        <w:t xml:space="preserve">and</w:t>
      </w:r>
      <w:r>
        <w:t xml:space="preserve"> </w:t>
      </w:r>
      <w:r>
        <w:rPr>
          <w:rStyle w:val="VerbatimChar"/>
        </w:rPr>
        <w:t xml:space="preserve">paired_spatial_uncertainty.json</w:t>
      </w:r>
      <w:r>
        <w:t xml:space="preserve"> </w:t>
      </w:r>
      <w:r>
        <w:t xml:space="preserve">for the four leakage-controlled one-step windows;</w:t>
      </w:r>
    </w:p>
    <w:p>
      <w:pPr>
        <w:pStyle w:val="Compact"/>
        <w:numPr>
          <w:ilvl w:val="0"/>
          <w:numId w:val="1002"/>
        </w:numPr>
      </w:pPr>
      <w:r>
        <w:rPr>
          <w:rStyle w:val="VerbatimChar"/>
        </w:rPr>
        <w:t xml:space="preserve">supplementary_table_S5_rolling_external_diagnostics.md</w:t>
      </w:r>
      <w:r>
        <w:t xml:space="preserve"> </w:t>
      </w:r>
      <w:r>
        <w:t xml:space="preserve">for the synchronized rolling and external-product table;</w:t>
      </w:r>
    </w:p>
    <w:p>
      <w:pPr>
        <w:pStyle w:val="Compact"/>
        <w:numPr>
          <w:ilvl w:val="0"/>
          <w:numId w:val="1002"/>
        </w:numPr>
      </w:pPr>
      <w:r>
        <w:rPr>
          <w:rStyle w:val="VerbatimChar"/>
        </w:rPr>
        <w:t xml:space="preserve">artifacts/external_validation/worldcover/</w:t>
      </w:r>
      <w:r>
        <w:t xml:space="preserve"> </w:t>
      </w:r>
      <w:r>
        <w:t xml:space="preserve">for frozen WorldCover built-fraction inputs, hashes and the external-product diagnostic;</w:t>
      </w:r>
    </w:p>
    <w:p>
      <w:pPr>
        <w:pStyle w:val="Compact"/>
        <w:numPr>
          <w:ilvl w:val="0"/>
          <w:numId w:val="1002"/>
        </w:numPr>
      </w:pPr>
      <w:r>
        <w:t xml:space="preserve">the v2 source manifest under</w:t>
      </w:r>
      <w:r>
        <w:t xml:space="preserve"> </w:t>
      </w:r>
      <w:r>
        <w:rPr>
          <w:rStyle w:val="VerbatimChar"/>
        </w:rPr>
        <w:t xml:space="preserve">artifacts/arcgis_sentinel2_landcover/</w:t>
      </w:r>
      <w:r>
        <w:t xml:space="preserve"> </w:t>
      </w:r>
      <w:r>
        <w:t xml:space="preserve">for service metadata, catalog records and downloaded-raster hashes;</w:t>
      </w:r>
    </w:p>
    <w:p>
      <w:pPr>
        <w:pStyle w:val="Compact"/>
        <w:numPr>
          <w:ilvl w:val="0"/>
          <w:numId w:val="1002"/>
        </w:numPr>
      </w:pPr>
      <w:r>
        <w:t xml:space="preserve">the v2 paired reports under</w:t>
      </w:r>
      <w:r>
        <w:t xml:space="preserve"> </w:t>
      </w:r>
      <w:r>
        <w:rPr>
          <w:rStyle w:val="VerbatimChar"/>
        </w:rPr>
        <w:t xml:space="preserve">artifacts/arcgis_v2_historical_backtest/</w:t>
      </w:r>
      <w:r>
        <w:t xml:space="preserve"> </w:t>
      </w:r>
      <w:r>
        <w:t xml:space="preserve">and</w:t>
      </w:r>
      <w:r>
        <w:t xml:space="preserve"> </w:t>
      </w:r>
      <w:r>
        <w:rPr>
          <w:rStyle w:val="VerbatimChar"/>
        </w:rPr>
        <w:t xml:space="preserve">artifacts/dynamic_world_matched_backtest/</w:t>
      </w:r>
      <w:r>
        <w:t xml:space="preserve"> </w:t>
      </w:r>
      <w:r>
        <w:t xml:space="preserve">for the two complete three-model expanding-window tracks;</w:t>
      </w:r>
    </w:p>
    <w:p>
      <w:pPr>
        <w:pStyle w:val="Compact"/>
        <w:numPr>
          <w:ilvl w:val="0"/>
          <w:numId w:val="1002"/>
        </w:numPr>
      </w:pPr>
      <w:r>
        <w:t xml:space="preserve">the v2 cross-product summary under</w:t>
      </w:r>
      <w:r>
        <w:t xml:space="preserve"> </w:t>
      </w:r>
      <w:r>
        <w:rPr>
          <w:rStyle w:val="VerbatimChar"/>
        </w:rPr>
        <w:t xml:space="preserve">results_arcgis_v2/paper_refresh/</w:t>
      </w:r>
      <w:r>
        <w:t xml:space="preserve"> </w:t>
      </w:r>
      <w:r>
        <w:t xml:space="preserve">and Supplementary Table S6 for the synchronized result;</w:t>
      </w:r>
    </w:p>
    <w:p>
      <w:pPr>
        <w:pStyle w:val="Compact"/>
        <w:numPr>
          <w:ilvl w:val="0"/>
          <w:numId w:val="1002"/>
        </w:numPr>
      </w:pPr>
      <w:r>
        <w:t xml:space="preserve">the v2</w:t>
      </w:r>
      <w:r>
        <w:t xml:space="preserve"> </w:t>
      </w:r>
      <w:r>
        <w:rPr>
          <w:rStyle w:val="VerbatimChar"/>
        </w:rPr>
        <w:t xml:space="preserve">results_arcgis_v2/ensembles/</w:t>
      </w:r>
      <w:r>
        <w:t xml:space="preserve"> </w:t>
      </w:r>
      <w:r>
        <w:t xml:space="preserve">and</w:t>
      </w:r>
      <w:r>
        <w:t xml:space="preserve"> </w:t>
      </w:r>
      <w:r>
        <w:rPr>
          <w:rStyle w:val="VerbatimChar"/>
        </w:rPr>
        <w:t xml:space="preserve">vectors/</w:t>
      </w:r>
      <w:r>
        <w:t xml:space="preserve"> </w:t>
      </w:r>
      <w:r>
        <w:t xml:space="preserve">directories for the 2026–2031 raster and change-footprint deliveries;</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and rolling-origin prediction rasters, frozen WorldCover built-fraction rasters, 2025–2031 planning rasters, nine GeoPackages of dissolved change footprints,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w:t>
      </w:r>
      <w:r>
        <w:t xml:space="preserve">at commit</w:t>
      </w:r>
      <w:r>
        <w:t xml:space="preserve"> </w:t>
      </w:r>
      <w:r>
        <w:rPr>
          <w:rStyle w:val="VerbatimChar"/>
        </w:rPr>
        <w:t xml:space="preserve">e06a997</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reference data remain outside this study.</w:t>
      </w:r>
    </w:p>
    <w:p>
      <w:pPr>
        <w:pStyle w:val="FirstParagraph"/>
      </w:pPr>
      <w:r>
        <w:t xml:space="preserve">The current working revision and the published v2.0.0 archive are distinct</w:t>
      </w:r>
      <w:r>
        <w:t xml:space="preserve"> </w:t>
      </w:r>
      <w:r>
        <w:t xml:space="preserve">versions. The published DOI continues to identify its original tagged inputs,</w:t>
      </w:r>
      <w:r>
        <w:t xml:space="preserve"> </w:t>
      </w:r>
      <w:r>
        <w:t xml:space="preserve">outputs and manuscript. The working revision adds a report-derived allocation-</w:t>
      </w:r>
      <w:r>
        <w:t xml:space="preserve"> </w:t>
      </w:r>
      <w:r>
        <w:t xml:space="preserve">limit analysis and revised interpretation without retraining models or replacing</w:t>
      </w:r>
      <w:r>
        <w:t xml:space="preserve"> </w:t>
      </w:r>
      <w:r>
        <w:t xml:space="preserve">the archived prediction rasters. Its separate working manifests and source hashes</w:t>
      </w:r>
      <w:r>
        <w:t xml:space="preserve"> </w:t>
      </w:r>
      <w:r>
        <w:t xml:space="preserve">are described in</w:t>
      </w:r>
      <w:r>
        <w:t xml:space="preserve"> </w:t>
      </w:r>
      <w:r>
        <w:rPr>
          <w:rStyle w:val="VerbatimChar"/>
        </w:rPr>
        <w:t xml:space="preserve">benchmarks/abu_dhabi_land_use_v2/reproducibility/WORKING_REVISION.md</w:t>
      </w:r>
      <w:r>
        <w:t xml:space="preserve">;</w:t>
      </w:r>
      <w:r>
        <w:t xml:space="preserve"> </w:t>
      </w:r>
      <w:r>
        <w:t xml:space="preserve">passing them verifies the declared revision, not a new DOI release.</w:t>
      </w:r>
    </w:p>
    <w:bookmarkEnd w:id="54"/>
    <w:bookmarkStart w:id="55"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run_rolling_backtest.py</w:t>
      </w:r>
      <w:r>
        <w:t xml:space="preserve"> </w:t>
      </w:r>
      <w:r>
        <w:t xml:space="preserve">and</w:t>
      </w:r>
      <w:r>
        <w:t xml:space="preserve"> </w:t>
      </w:r>
      <w:r>
        <w:rPr>
          <w:rStyle w:val="VerbatimChar"/>
        </w:rPr>
        <w:t xml:space="preserve">run_rolling_uncertainty.py</w:t>
      </w:r>
      <w:r>
        <w:t xml:space="preserve"> </w:t>
      </w:r>
      <w:r>
        <w:t xml:space="preserve">for the expanding-window experiment and paired spatial-block intervals;</w:t>
      </w:r>
    </w:p>
    <w:p>
      <w:pPr>
        <w:pStyle w:val="Compact"/>
        <w:numPr>
          <w:ilvl w:val="0"/>
          <w:numId w:val="1003"/>
        </w:numPr>
      </w:pPr>
      <w:r>
        <w:rPr>
          <w:rStyle w:val="VerbatimChar"/>
        </w:rPr>
        <w:t xml:space="preserve">materialize_worldcover_validation.py</w:t>
      </w:r>
      <w:r>
        <w:t xml:space="preserve"> </w:t>
      </w:r>
      <w:r>
        <w:t xml:space="preserve">for frozen WorldCover inputs;</w:t>
      </w:r>
    </w:p>
    <w:p>
      <w:pPr>
        <w:pStyle w:val="Compact"/>
        <w:numPr>
          <w:ilvl w:val="0"/>
          <w:numId w:val="1003"/>
        </w:numPr>
      </w:pPr>
      <w:r>
        <w:rPr>
          <w:rStyle w:val="VerbatimChar"/>
        </w:rPr>
        <w:t xml:space="preserve">run_worldcover_external_diagnostic.py</w:t>
      </w:r>
      <w:r>
        <w:t xml:space="preserve"> </w:t>
      </w:r>
      <w:r>
        <w:t xml:space="preserve">for the agreement diagnostic;</w:t>
      </w:r>
    </w:p>
    <w:p>
      <w:pPr>
        <w:pStyle w:val="Compact"/>
        <w:numPr>
          <w:ilvl w:val="0"/>
          <w:numId w:val="1003"/>
        </w:numPr>
      </w:pPr>
      <w:r>
        <w:t xml:space="preserve">the vendored</w:t>
      </w:r>
      <w:r>
        <w:t xml:space="preserve"> </w:t>
      </w:r>
      <w:r>
        <w:rPr>
          <w:rStyle w:val="VerbatimChar"/>
        </w:rPr>
        <w:t xml:space="preserve">geospatial_kernel/runtime.py</w:t>
      </w:r>
      <w:r>
        <w:t xml:space="preserve"> </w:t>
      </w:r>
      <w:r>
        <w:t xml:space="preserve">snapshot;</w:t>
      </w:r>
    </w:p>
    <w:p>
      <w:pPr>
        <w:pStyle w:val="Compact"/>
        <w:numPr>
          <w:ilvl w:val="0"/>
          <w:numId w:val="1003"/>
        </w:numPr>
      </w:pPr>
      <w:r>
        <w:rPr>
          <w:rStyle w:val="VerbatimChar"/>
        </w:rPr>
        <w:t xml:space="preserve">render_nature_figures.py</w:t>
      </w:r>
      <w:r>
        <w:t xml:space="preserve"> </w:t>
      </w:r>
      <w:r>
        <w:t xml:space="preserve">and</w:t>
      </w:r>
      <w:r>
        <w:t xml:space="preserve"> </w:t>
      </w:r>
      <w:r>
        <w:rPr>
          <w:rStyle w:val="VerbatimChar"/>
        </w:rPr>
        <w:t xml:space="preserve">render_rolling_validation_figure.py</w:t>
      </w:r>
      <w:r>
        <w:t xml:space="preserve"> </w:t>
      </w:r>
      <w:r>
        <w:t xml:space="preserve">for publication artwork;</w:t>
      </w:r>
    </w:p>
    <w:p>
      <w:pPr>
        <w:pStyle w:val="Compact"/>
        <w:numPr>
          <w:ilvl w:val="0"/>
          <w:numId w:val="1003"/>
        </w:numPr>
      </w:pPr>
      <w:r>
        <w:rPr>
          <w:rStyle w:val="VerbatimChar"/>
        </w:rPr>
        <w:t xml:space="preserve">source_data_fig03_rolling_external_diagnostics.csv</w:t>
      </w:r>
      <w:r>
        <w:t xml:space="preserve"> </w:t>
      </w:r>
      <w:r>
        <w:t xml:space="preserve">for the quantitative source data behind Fig. 3.</w:t>
      </w:r>
    </w:p>
    <w:p>
      <w:pPr>
        <w:pStyle w:val="Compact"/>
        <w:numPr>
          <w:ilvl w:val="0"/>
          <w:numId w:val="1003"/>
        </w:numPr>
      </w:pPr>
      <w:r>
        <w:rPr>
          <w:rStyle w:val="VerbatimChar"/>
        </w:rPr>
        <w:t xml:space="preserve">run_arcgis_historical_backtest.py</w:t>
      </w:r>
      <w:r>
        <w:t xml:space="preserve"> </w:t>
      </w:r>
      <w:r>
        <w:t xml:space="preserve">for both leakage-controlled product tracks;</w:t>
      </w:r>
    </w:p>
    <w:p>
      <w:pPr>
        <w:pStyle w:val="Compact"/>
        <w:numPr>
          <w:ilvl w:val="0"/>
          <w:numId w:val="1003"/>
        </w:numPr>
      </w:pPr>
      <w:r>
        <w:rPr>
          <w:rStyle w:val="VerbatimChar"/>
        </w:rPr>
        <w:t xml:space="preserve">analyze_product_robustness.py</w:t>
      </w:r>
      <w:r>
        <w:t xml:space="preserve">,</w:t>
      </w:r>
      <w:r>
        <w:t xml:space="preserve"> </w:t>
      </w:r>
      <w:r>
        <w:rPr>
          <w:rStyle w:val="VerbatimChar"/>
        </w:rPr>
        <w:t xml:space="preserve">source_data_fig04_product_robustness.csv</w:t>
      </w:r>
      <w:r>
        <w:t xml:space="preserve"> </w:t>
      </w:r>
      <w:r>
        <w:t xml:space="preserve">and</w:t>
      </w:r>
      <w:r>
        <w:t xml:space="preserve"> </w:t>
      </w:r>
      <w:r>
        <w:rPr>
          <w:rStyle w:val="VerbatimChar"/>
        </w:rPr>
        <w:t xml:space="preserve">supplementary_table_S6_product_robustness.md</w:t>
      </w:r>
      <w:r>
        <w:t xml:space="preserve"> </w:t>
      </w:r>
      <w:r>
        <w:t xml:space="preserve">for the cross-product analysis;</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The versioned v2 source release is archived at</w:t>
      </w:r>
      <w:r>
        <w:t xml:space="preserve"> </w:t>
      </w:r>
      <w:r>
        <w:t xml:space="preserve">https://doi.org/10.5281/zenodo.22689057 and corresponds to GitHub tag</w:t>
      </w:r>
      <w:r>
        <w:t xml:space="preserve"> </w:t>
      </w:r>
      <w:r>
        <w:rPr>
          <w:rStyle w:val="VerbatimChar"/>
        </w:rPr>
        <w:t xml:space="preserve">v2.0.0</w:t>
      </w:r>
      <w:r>
        <w:t xml:space="preserve"> </w:t>
      </w:r>
      <w:r>
        <w:t xml:space="preserve">at commit</w:t>
      </w:r>
      <w:r>
        <w:t xml:space="preserve"> </w:t>
      </w:r>
      <w:r>
        <w:rPr>
          <w:rStyle w:val="VerbatimChar"/>
        </w:rPr>
        <w:t xml:space="preserve">77e2c59</w:t>
      </w:r>
      <w:r>
        <w:t xml:space="preserve">; the DOI identifies the public benchmark source release,</w:t>
      </w:r>
      <w:r>
        <w:t xml:space="preserve"> </w:t>
      </w:r>
      <w:r>
        <w:t xml:space="preserve">not the eventual journal article DOI. Hydrated Git LFS objects must be fetched</w:t>
      </w:r>
      <w:r>
        <w:t xml:space="preserve"> </w:t>
      </w:r>
      <w:r>
        <w:t xml:space="preserve">from the tagged repository for a full numerical rerun.</w:t>
      </w:r>
    </w:p>
    <w:bookmarkEnd w:id="55"/>
    <w:bookmarkStart w:id="56"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56"/>
    <w:bookmarkStart w:id="5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Copernicus. (2024). Copernicus DEM GLO-30 (2024_1): Global 30m Digital Elevation Model [Data set; digital surface model]. Google Earth Engine Data Catalog. https://developers.google.com/earth-engine/datasets/catalog/COPERNICUS_DEM_GLO30_2024_1 (accessed 10 September 2026).</w:t>
      </w:r>
    </w:p>
    <w:p>
      <w:pPr>
        <w:pStyle w:val="BodyText"/>
      </w:pPr>
      <w:r>
        <w:t xml:space="preserve">Earth Observation Group, Payne Institute for Public Policy, Colorado School of Mines. (n.d.). VIIRS Stray Light Corrected Nighttime Day/Night Band Composites Version 1 [Monthly data set; VCMSLCFG]. Google Earth Engine Data Catalog. https://developers.google.com/earth-engine/datasets/catalog/NOAA_VIIRS_DNB_MONTHLY_V1_VCMSLCFG (accessed 10 September 2026).</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Geofabrik. (2026). GCC States OpenStreetMap extract, 31 July 2026 [Data set; gcc-states-260731.osm.pbf]. https://download.geofabrik.de/asia/gcc-states-260731.osm.pbf</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(n.d.). Sentinel-2 10m land cover time series of the world [Data set]. ArcGIS ImageServer. https://ic.imagery1.arcgis.com/arcgis/rest/services/Sentinel2_10m_LandCover/ImageServer (archived materialization manifest dated 9 September 2026; upstream release version not recorded).</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Abu Dhabi city boundary, relation 4479763 [Data set; retrieved 1 August 2026; geometry documented in boundary_manifest.json]. https://www.openstreetmap.org/relation/4479763</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7"/>
    <w:bookmarkStart w:id="5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4"/>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4"/>
        </w:numPr>
      </w:pPr>
      <w:r>
        <w:rPr>
          <w:b/>
          <w:bCs/>
        </w:rPr>
        <w:t xml:space="preserve">Supplementary Table S7:</w:t>
      </w:r>
      <w:r>
        <w:t xml:space="preserve"> </w:t>
      </w:r>
      <w:r>
        <w:t xml:space="preserve">Net-change FoM upper bounds and 54 seed-specific paired model intervals (see</w:t>
      </w:r>
      <w:r>
        <w:t xml:space="preserve"> </w:t>
      </w:r>
      <w:r>
        <w:rPr>
          <w:rStyle w:val="VerbatimChar"/>
        </w:rPr>
        <w:t xml:space="preserve">supplementary_table_S7_allocation_limits.md</w:t>
      </w:r>
      <w:r>
        <w:t xml:space="preserve">).</w:t>
      </w:r>
    </w:p>
    <w:p>
      <w:pPr>
        <w:pStyle w:val="Compact"/>
        <w:numPr>
          <w:ilvl w:val="0"/>
          <w:numId w:val="1004"/>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4"/>
        </w:numPr>
      </w:pPr>
      <w:r>
        <w:rPr>
          <w:b/>
          <w:bCs/>
        </w:rPr>
        <w:t xml:space="preserve">Fig. S2:</w:t>
      </w:r>
      <w:r>
        <w:t xml:space="preserve"> </w:t>
      </w:r>
      <w:r>
        <w:t xml:space="preserve">Dynamic World confidence and high-confidence change sensitivity (</w:t>
      </w:r>
      <w:r>
        <w:rPr>
          <w:rStyle w:val="VerbatimChar"/>
        </w:rPr>
        <w:t xml:space="preserve">figures/figS02_input_label_quality.*</w:t>
      </w:r>
      <w:r>
        <w:t xml:space="preserve">).</w:t>
      </w:r>
    </w:p>
    <w:p>
      <w:pPr>
        <w:pStyle w:val="Compact"/>
        <w:numPr>
          <w:ilvl w:val="0"/>
          <w:numId w:val="1004"/>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4"/>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7" Type="http://schemas.openxmlformats.org/officeDocument/2006/relationships/image" Target="media/rId37.png"/><Relationship Id="rId34" Type="http://schemas.openxmlformats.org/officeDocument/2006/relationships/image" Target="media/rId34.png"/><Relationship Id="rId42" Type="http://schemas.openxmlformats.org/officeDocument/2006/relationships/image" Target="media/rId42.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2026-09-10T12:37:38Z</dcterms:created>
  <dcterms:modified xsi:type="dcterms:W3CDTF">2026-09-10T12:37:38Z</dcterms:modified>
</cp:coreProperties>
</file>

<file path=docProps/custom.xml><?xml version="1.0" encoding="utf-8"?>
<Properties xmlns="http://schemas.openxmlformats.org/officeDocument/2006/custom-properties" xmlns:vt="http://schemas.openxmlformats.org/officeDocument/2006/docPropsVTypes"/>
</file>