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annual land-cover product uncertainty</w:t>
      </w:r>
    </w:p>
    <w:p>
      <w:pPr>
        <w:pStyle w:val="Author"/>
      </w:pPr>
    </w:p>
    <w:bookmarkStart w:id="9" w:name="abstract"/>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the attainable change-detection score.</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source URL, snapshot date and SHA-256 are preserved in</w:t>
      </w:r>
      <w:r>
        <w:t xml:space="preserve"> </w:t>
      </w:r>
      <w:r>
        <w:rPr>
          <w:rStyle w:val="VerbatimChar"/>
        </w:rPr>
        <w:t xml:space="preserve">osm_input_manifest.json</w:t>
      </w:r>
      <w:r>
        <w:t xml:space="preserve">;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an archived source repository at an anonymized revision contains the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Supplementary</w:t>
      </w:r>
      <w:r>
        <w:t xml:space="preserve"> </w:t>
      </w:r>
      <w:r>
        <w:t xml:space="preserve">Table S7 reports all seed-specific paired intervals for Kernel versus FLUS-style</w:t>
      </w:r>
      <w:r>
        <w:t xml:space="preserve"> </w:t>
      </w:r>
      <w:r>
        <w:t xml:space="preserve">and GeoFM-LDN versus Kernel. In the ArcGIS 2023 target, all three GeoFM-LDN-minus-</w:t>
      </w:r>
      <w:r>
        <w:t xml:space="preserve"> </w:t>
      </w:r>
      <w:r>
        <w:t xml:space="preserve">Kernel intervals include zero despite Kernel’s higher mean; in 2024, two exclude</w:t>
      </w:r>
      <w:r>
        <w:t xml:space="preserve"> </w:t>
      </w:r>
      <w:r>
        <w:t xml:space="preserve">zero in Kernel’s favour and 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Kernel is</w:t>
      </w:r>
      <w:r>
        <w:t xml:space="preserve"> </w:t>
      </w:r>
      <w:r>
        <w:t xml:space="preserve">therefore not the numerical leader in the latest year. Block-size sensitivity</w:t>
      </w:r>
      <w:r>
        <w:t xml:space="preserve"> </w:t>
      </w:r>
      <w:r>
        <w:t xml:space="preserve">has not been established, and repeated seeds do not constitute independent</w:t>
      </w:r>
      <w:r>
        <w:t xml:space="preserve"> </w:t>
      </w:r>
      <w:r>
        <w:t xml:space="preserve">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or establish the performance of an allocator allowing simultaneous</w:t>
      </w:r>
      <w:r>
        <w:t xml:space="preserve"> </w:t>
      </w:r>
      <w:r>
        <w:t xml:space="preserve">gain and loss of each class.</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Identical membership among</w:t>
      </w:r>
      <w:r>
        <w:t xml:space="preserve"> </w:t>
      </w:r>
      <w:r>
        <w:t xml:space="preserve">three candidates does not establish spatial agreement of their allocations or</w:t>
      </w:r>
      <w:r>
        <w:t xml:space="preserve"> </w:t>
      </w:r>
      <w:r>
        <w:t xml:space="preserve">stability of planning benefits. Product-specific origins, horizons and actions</w:t>
      </w:r>
      <w:r>
        <w:t xml:space="preserve"> </w:t>
      </w:r>
      <w:r>
        <w:t xml:space="preserve">also differ; this is not a controlled experiment holding demand and initial</w:t>
      </w:r>
      <w:r>
        <w:t xml:space="preserve"> </w:t>
      </w:r>
      <w:r>
        <w:t xml:space="preserve">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modified</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and masks.</w:t>
      </w:r>
      <w:r>
        <w:t xml:space="preserve"> </w:t>
      </w:r>
      <w:r>
        <w:t xml:space="preserve">Neither independent reference validation nor this gross-transition experiment</w:t>
      </w:r>
      <w:r>
        <w:t xml:space="preserve"> </w:t>
      </w:r>
      <w:r>
        <w:t xml:space="preserve">has been performed. They are requirements for extending the present conditional</w:t>
      </w:r>
      <w:r>
        <w:t xml:space="preserve"> </w:t>
      </w:r>
      <w:r>
        <w:t xml:space="preserve">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 The count-only bounds further show</w:t>
      </w:r>
      <w:r>
        <w:t xml:space="preserve"> </w:t>
      </w:r>
      <w:r>
        <w:t xml:space="preserve">that net-change allocation can suppress much of the gross change represented by</w:t>
      </w:r>
      <w:r>
        <w:t xml:space="preserve"> </w:t>
      </w:r>
      <w:r>
        <w:t xml:space="preserve">a product; future work must separate that restriction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reports, generated delivery artefacts and source-data tables are available from an anonymized repository and archival package. Repository and archive identifiers are withheld during double-anonymized review and will be supplied in the accepted version. The package includes the Dynamic World and ArcGIS-served product-track reports, aligned public rasters, planning outputs, raster-cell transition footprints and integrity manifests. Authoritative Abu Dhabi land-use and independent reference data are not part of this study.</w:t>
      </w:r>
    </w:p>
    <w:bookmarkEnd w:id="54"/>
    <w:bookmarkStart w:id="55" w:name="code-availability"/>
    <w:p>
      <w:pPr>
        <w:pStyle w:val="Heading2"/>
      </w:pPr>
      <w:r>
        <w:t xml:space="preserve">Code availability</w:t>
      </w:r>
    </w:p>
    <w:p>
      <w:pPr>
        <w:pStyle w:val="FirstParagraph"/>
      </w:pPr>
      <w:r>
        <w:t xml:space="preserve">The analysis scripts, benchmark protocol, model runners, figure-generation code, model assets and integrity checks are maintained in the accompanying anonymized repository and archival package. Identifiers and contact details are withheld during double-anonymized review and will be supplied in the accepted version.</w:t>
      </w:r>
    </w:p>
    <w:bookmarkEnd w:id="55"/>
    <w:bookmarkStart w:id="56" w:name="declarations"/>
    <w:p>
      <w:pPr>
        <w:pStyle w:val="Heading2"/>
      </w:pPr>
      <w:r>
        <w:t xml:space="preserve">Declarations</w:t>
      </w:r>
    </w:p>
    <w:p>
      <w:pPr>
        <w:pStyle w:val="FirstParagraph"/>
      </w:pPr>
      <w:r>
        <w:t xml:space="preserve">Funding, competing interests, author contributions, acknowledgements and ethics information are supplied in the separate title page and submission metadata.</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2"/>
        </w:numPr>
      </w:pPr>
      <w:r>
        <w:rPr>
          <w:b/>
          <w:bCs/>
        </w:rPr>
        <w:t xml:space="preserve">Supplementary Note 1:</w:t>
      </w:r>
      <w:r>
        <w:t xml:space="preserve"> </w:t>
      </w:r>
      <w:r>
        <w:t xml:space="preserve">Complete data crosswalk, quality metrics and public/proxy status.</w:t>
      </w:r>
    </w:p>
    <w:p>
      <w:pPr>
        <w:pStyle w:val="Compact"/>
        <w:numPr>
          <w:ilvl w:val="0"/>
          <w:numId w:val="1002"/>
        </w:numPr>
      </w:pPr>
      <w:r>
        <w:rPr>
          <w:b/>
          <w:bCs/>
        </w:rPr>
        <w:t xml:space="preserve">Supplementary Note 2:</w:t>
      </w:r>
      <w:r>
        <w:t xml:space="preserve"> </w:t>
      </w:r>
      <w:r>
        <w:t xml:space="preserve">Kernel runtime schemas, audit fields and adapter boundary.</w:t>
      </w:r>
    </w:p>
    <w:p>
      <w:pPr>
        <w:pStyle w:val="Compact"/>
        <w:numPr>
          <w:ilvl w:val="0"/>
          <w:numId w:val="1002"/>
        </w:numPr>
      </w:pPr>
      <w:r>
        <w:rPr>
          <w:b/>
          <w:bCs/>
        </w:rPr>
        <w:t xml:space="preserve">Supplementary Table S1:</w:t>
      </w:r>
      <w:r>
        <w:t xml:space="preserve"> </w:t>
      </w:r>
      <w:r>
        <w:t xml:space="preserve">Full 2025–2031 model–scenario objective matrix with per-seed values.</w:t>
      </w:r>
    </w:p>
    <w:p>
      <w:pPr>
        <w:pStyle w:val="Compact"/>
        <w:numPr>
          <w:ilvl w:val="0"/>
          <w:numId w:val="1002"/>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2"/>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2"/>
        </w:numPr>
      </w:pPr>
      <w:r>
        <w:rPr>
          <w:b/>
          <w:bCs/>
        </w:rPr>
        <w:t xml:space="preserve">Supplementary Table S4:</w:t>
      </w:r>
      <w:r>
        <w:t xml:space="preserve"> </w:t>
      </w:r>
      <w:r>
        <w:t xml:space="preserve">Raster and vector delivery audit, hashes and layer counts.</w:t>
      </w:r>
    </w:p>
    <w:p>
      <w:pPr>
        <w:pStyle w:val="Compact"/>
        <w:numPr>
          <w:ilvl w:val="0"/>
          <w:numId w:val="1002"/>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2"/>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2"/>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2"/>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2"/>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2"/>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2"/>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7" Type="http://schemas.openxmlformats.org/officeDocument/2006/relationships/image" Target="media/rId37.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annual land-cover product uncertainty</dc:title>
  <dc:creator/>
  <cp:keywords/>
  <dcterms:created xsi:type="dcterms:W3CDTF">2026-09-10T12:37:46Z</dcterms:created>
  <dcterms:modified xsi:type="dcterms:W3CDTF">2026-09-10T12:37:46Z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