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Auditing constrained geospatial allocation under annual land-cover product uncertainty</w:t>
      </w:r>
    </w:p>
    <w:bookmarkEnd w:id="9"/>
    <w:bookmarkStart w:id="10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Ning Zhou</w:t>
      </w:r>
    </w:p>
    <w:bookmarkEnd w:id="10"/>
    <w:bookmarkStart w:id="11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Beijing Freedo Technology Co., Ltd.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Email: zhouning@freedotech.com</w:t>
      </w:r>
    </w:p>
    <w:bookmarkEnd w:id="12"/>
    <w:bookmarkStart w:id="13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Funding.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Ning Zhou is employed by Beijing Freedo Technology Co., Ltd., which develops geospatial-world-model software. The author declares no other competing financial or personal interests.</w:t>
      </w:r>
    </w:p>
    <w:p>
      <w:pPr>
        <w:pStyle w:val="BodyText"/>
      </w:pPr>
      <w:r>
        <w:rPr>
          <w:b/>
          <w:bCs/>
        </w:rPr>
        <w:t xml:space="preserve">CRediT author statement.</w:t>
      </w:r>
      <w:r>
        <w:t xml:space="preserve"> </w:t>
      </w:r>
      <w:r>
        <w:t xml:space="preserve">Ning Zhou: Conceptualization, methodology, software, data curation, formal analysis, visualization, writing—original draft, writing—review and editing.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 thanks the anonymous reviewers for independent technical verification and constructive methodological comments.</w:t>
      </w:r>
    </w:p>
    <w:p>
      <w:pPr>
        <w:pStyle w:val="BodyText"/>
      </w:pPr>
      <w:r>
        <w:rPr>
          <w:b/>
          <w:bCs/>
        </w:rPr>
        <w:t xml:space="preserve">Ethics statement.</w:t>
      </w:r>
      <w:r>
        <w:t xml:space="preserve"> </w:t>
      </w:r>
      <w:r>
        <w:t xml:space="preserve">Not applicable; the study used geospatial raster, vector and derived public-data products and did not involve human or animal participants.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The ArcGIS-served public benchmark source release is archived at https://doi.org/10.5281/zenodo.22689057 (v2.0.0; GitHub tag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77e2c59</w:t>
      </w:r>
      <w:r>
        <w:t xml:space="preserve">; concept DOI https://doi.org/10.5281/zenodo.22663475). The Zenodo-generated ZIP preserves Git LFS pointer identities; hydrated large artifacts required for a full numerical rerun are retrieved from the tagged repository and verified against the included manifests.</w:t>
      </w:r>
    </w:p>
    <w:bookmarkEnd w:id="13"/>
    <w:bookmarkEnd w:id="14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2026-09-10T12:37:54Z</dcterms:created>
  <dcterms:modified xsi:type="dcterms:W3CDTF">2026-09-10T12:37:54Z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