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43dac2cd589d902aa714d17edebd3293783d5c9"/>
    <w:p>
      <w:pPr>
        <w:pStyle w:val="Heading1"/>
      </w:pPr>
      <w:r>
        <w:t xml:space="preserve">Supplementary Table S1. ArcGIS-served 2031 planning objective profiles</w:t>
      </w:r>
    </w:p>
    <w:p>
      <w:pPr>
        <w:pStyle w:val="FirstParagraph"/>
      </w:pPr>
      <w:r>
        <w:t xml:space="preserve">Values are means plus or minus population standard deviations across computational seeds 31, 47 and 73. All values are conditional on the ArcGIS-served 2025 origin state and product-specific 2026–2031 scenario actions. Lower values are preferred for all three public proxy objectives. A frontier mark denotes non-domination within that scenario only; it is not a forecast-accuracy or welfare ranking.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033"/>
        <w:gridCol w:w="1033"/>
        <w:gridCol w:w="1377"/>
        <w:gridCol w:w="1377"/>
        <w:gridCol w:w="1377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Scenario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New built to major roads (m)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New built to prior built (m)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Union-built components per 1,000 cells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Within-scenario frontier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Moderate growth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FLUS-style ANN–CA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368.0 +/- 15.0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194.3 +/- 28.3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0.731 +/- 0.066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Moderate growth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Geospatial Kernel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466.9 +/- 5.9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119.1 +/- 1.7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0.990 +/- 0.020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Moderate growth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GeoFM-LDN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487.0 +/- 52.9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262.6 +/- 38.0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1.295 +/- 0.059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Green-priority growth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FLUS-style ANN–CA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366.0 +/- 6.9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184.8 +/- 30.7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0.798 +/- 0.073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Green-priority growth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Geospatial Kernel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486.9 +/- 8.7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113.4 +/- 1.0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1.103 +/- 0.018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Green-priority growth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GeoFM-LDN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495.1 +/- 59.1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249.4 +/- 36.1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1.320 +/- 0.058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High outward growth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FLUS-style ANN–CA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388.5 +/- 29.8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228.7 +/- 24.7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0.631 +/- 0.052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High outward growth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Geospatial Kernel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447.9 +/- 1.1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155.3 +/- 2.2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0.769 +/- 0.006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3"/>
              </w:rP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High outward growth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GeoFM-LDN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465.2 +/- 39.0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295.2 +/- 47.1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1.249 +/- 0.073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In this product track, FLUS-style ANN-CA has lower mean major-road distance and lower union-built component density, while Kernel has lower mean distance to prior built cells in all three scenarios. This dimension-specific trade-off differs from the Dynamic World-origin table and is why unchanged frontier membership must not be interpreted as unchanged planning behaviour.</w:t>
      </w:r>
    </w:p>
    <w:bookmarkEnd w:id="9"/>
    <w:bookmarkStart w:id="10" w:name="Xd9ce48d11ffbb0b77d307796cd52d990c296954"/>
    <w:p>
      <w:pPr>
        <w:pStyle w:val="Heading1"/>
      </w:pPr>
      <w:r>
        <w:t xml:space="preserve">Supplementary Table S2. Strict neighbourhood-weight sensitivity</w:t>
      </w:r>
    </w:p>
    <w:p>
      <w:pPr>
        <w:pStyle w:val="FirstParagraph"/>
      </w:pPr>
      <w:r>
        <w:t xml:space="preserve">Values are means across seeds 31, 47 and 73 under the destination-correct</w:t>
      </w:r>
      <w:r>
        <w:t xml:space="preserve"> </w:t>
      </w:r>
      <w:r>
        <w:t xml:space="preserve">strict multi-class change Figure of Merit evaluator. This is a post-hoc</w:t>
      </w:r>
      <w:r>
        <w:t xml:space="preserve"> </w:t>
      </w:r>
      <w:r>
        <w:t xml:space="preserve">robustness diagnostic, not a causal estimate of the neighbourhood term.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Target year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Neighbourhood weight λ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Mean strict FoM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Population SD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0.19570436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0.00171387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0.19609294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0.00176310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0.350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0.19608163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0.00141267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0.700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0.19577652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0.00133722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0.25304391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0.00139858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0.25296735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0.00100364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0.350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0.25294629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0.00083516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0.700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0.25273342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0.00118025</w:t>
            </w:r>
          </w:p>
        </w:tc>
      </w:tr>
    </w:tbl>
    <w:p>
      <w:pPr>
        <w:pStyle w:val="BodyText"/>
      </w:pPr>
      <w:r>
        <w:t xml:space="preserve">Machine-readable seed-level values are provided in</w:t>
      </w:r>
      <w:r>
        <w:t xml:space="preserve"> </w:t>
      </w:r>
      <w:r>
        <w:rPr>
          <w:rStyle w:val="VerbatimChar"/>
        </w:rPr>
        <w:t xml:space="preserve">../benchmarks/abu_dhabi_land_use_v1/artifacts/mechanism_ablations/neighbourhood_weight_sensitivity_report.json</w:t>
      </w:r>
      <w:r>
        <w:t xml:space="preserve">.</w:t>
      </w:r>
    </w:p>
    <w:bookmarkEnd w:id="10"/>
    <w:bookmarkStart w:id="11" w:name="Xfbd70c23b894de3fd373a8d6ad285644a9ccb57"/>
    <w:p>
      <w:pPr>
        <w:pStyle w:val="Heading1"/>
      </w:pPr>
      <w:r>
        <w:t xml:space="preserve">Supplementary Table S3. FLUS feature-expansion diagnostics</w:t>
      </w:r>
    </w:p>
    <w:p>
      <w:pPr>
        <w:pStyle w:val="FirstParagraph"/>
      </w:pPr>
      <w:r>
        <w:t xml:space="preserve">These diagnostics use the author-modified FLUS console with the released</w:t>
      </w:r>
      <w:r>
        <w:t xml:space="preserve"> </w:t>
      </w:r>
      <w:r>
        <w:t xml:space="preserve">public-data benchmark. They are not comparable headline estimators because they</w:t>
      </w:r>
      <w:r>
        <w:t xml:space="preserve"> </w:t>
      </w:r>
      <w:r>
        <w:t xml:space="preserve">retain the FLUS same-year suitability target and cellular-automata allocation</w:t>
      </w:r>
      <w:r>
        <w:t xml:space="preserve"> </w:t>
      </w:r>
      <w:r>
        <w:t xml:space="preserve">semantics rather than the Geospatial Kernel next-state transition and projection</w:t>
      </w:r>
      <w:r>
        <w:t xml:space="preserve"> </w:t>
      </w:r>
      <w:r>
        <w:t xml:space="preserve">contract.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880"/>
        <w:gridCol w:w="880"/>
        <w:gridCol w:w="880"/>
        <w:gridCol w:w="880"/>
        <w:gridCol w:w="880"/>
        <w:gridCol w:w="88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Archive / evidence platform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Seeds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2023 strict FoM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2024 strict FoM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2023 predicted changes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2024 predicted changes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2023 demand TV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2024 demand TV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Seven drivers + current-class one-hot (13 features)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macOS arm64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31, 47, 73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0.0388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0.0857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Same-year class identity leakage; zero-change diagnostic.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Seven drivers + neighbourhood fractions (19 features)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macOS arm64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31, 47, 73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0.1071–0.1617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0.0872–0.1386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1,702–2,417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1,805–2,499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0.0153–0.0305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0.0615–0.0767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Partial demand underfill. Observed changes: 4,500 (2023) and 8,464 (2024).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Kernel-order feature family (25 features)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macOS arm64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31, 47, 73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0.0000–0.1320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0.0000–0.1960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0–2,948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0–6,462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0.0023–0.0388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0.0052–0.0857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Seeds 47 and 73 collapsed. Seed 31 is diagnostic 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Kernel-order feature family (25 features)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independent external Windows x86_64 verification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31, 47, 73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0.0388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0.0857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All three seeds collapsed; evidence was reported during anonymous peer review and source rasters are not locally archived.</w:t>
            </w:r>
          </w:p>
        </w:tc>
      </w:tr>
    </w:tbl>
    <w:p>
      <w:pPr>
        <w:pStyle w:val="BodyText"/>
      </w:pPr>
      <w:r>
        <w:t xml:space="preserve">The 25-feature mode collapsed in five of six platform–seed runs. The sole</w:t>
      </w:r>
      <w:r>
        <w:t xml:space="preserve"> </w:t>
      </w:r>
      <w:r>
        <w:t xml:space="preserve">non-collapsed macOS seed-31 result is not reported as a point estimate or as a</w:t>
      </w:r>
      <w:r>
        <w:t xml:space="preserve"> </w:t>
      </w:r>
      <w:r>
        <w:t xml:space="preserve">Kernel-minus-FLUS paired contrast.</w:t>
      </w:r>
      <w:r>
        <w:t xml:space="preserve"> </w:t>
      </w:r>
      <w:r>
        <w:rPr>
          <w:rStyle w:val="VerbatimChar"/>
        </w:rPr>
        <w:t xml:space="preserve">FLUS_RANDOM_SEED</w:t>
      </w:r>
      <w:r>
        <w:t xml:space="preserve"> </w:t>
      </w:r>
      <w:r>
        <w:t xml:space="preserve">produces deterministic</w:t>
      </w:r>
      <w:r>
        <w:t xml:space="preserve"> </w:t>
      </w:r>
      <w:r>
        <w:t xml:space="preserve">runs within a fixed platform and build environment, but the console uses C</w:t>
      </w:r>
      <w:r>
        <w:t xml:space="preserve"> </w:t>
      </w:r>
      <w:r>
        <w:rPr>
          <w:rStyle w:val="VerbatimChar"/>
        </w:rPr>
        <w:t xml:space="preserve">rand()</w:t>
      </w:r>
      <w:r>
        <w:t xml:space="preserve">/</w:t>
      </w:r>
      <w:r>
        <w:rPr>
          <w:rStyle w:val="VerbatimChar"/>
        </w:rPr>
        <w:t xml:space="preserve">srand()</w:t>
      </w:r>
      <w:r>
        <w:t xml:space="preserve"> </w:t>
      </w:r>
      <w:r>
        <w:t xml:space="preserve">in both ANN sampling and CA roulette draws. The random stream</w:t>
      </w:r>
      <w:r>
        <w:t xml:space="preserve"> </w:t>
      </w:r>
      <w:r>
        <w:t xml:space="preserve">therefore differs across platform runtimes.</w:t>
      </w:r>
    </w:p>
    <w:p>
      <w:pPr>
        <w:pStyle w:val="BodyText"/>
      </w:pPr>
      <w:r>
        <w:t xml:space="preserve">The independent external Windows x86_64 verification also found the</w:t>
      </w:r>
      <w:r>
        <w:t xml:space="preserve"> </w:t>
      </w:r>
      <w:r>
        <w:t xml:space="preserve">seven-driver control to differ from the macOS output by approximately 2–4% of</w:t>
      </w:r>
      <w:r>
        <w:t xml:space="preserve"> </w:t>
      </w:r>
      <w:r>
        <w:t xml:space="preserve">valid categorical cells. These external Windows observations are reported here</w:t>
      </w:r>
      <w:r>
        <w:t xml:space="preserve"> </w:t>
      </w:r>
      <w:r>
        <w:t xml:space="preserve">for the platform-boundary diagnosis only. Their source rasters and logs are not</w:t>
      </w:r>
      <w:r>
        <w:t xml:space="preserve"> </w:t>
      </w:r>
      <w:r>
        <w:t xml:space="preserve">part of the repository, so they are not used as author-run primary evidence or</w:t>
      </w:r>
      <w:r>
        <w:t xml:space="preserve"> </w:t>
      </w:r>
      <w:r>
        <w:t xml:space="preserve">as a model-comparison point estimate.</w:t>
      </w:r>
    </w:p>
    <w:bookmarkEnd w:id="11"/>
    <w:bookmarkStart w:id="20" w:name="X760874ac73f122f690a73682d02a3deeb979789"/>
    <w:p>
      <w:pPr>
        <w:pStyle w:val="Heading1"/>
      </w:pPr>
      <w:r>
        <w:t xml:space="preserve">Supplementary Table S4. Dynamic World-to-ArcGIS class matrices</w:t>
      </w:r>
    </w:p>
    <w:p>
      <w:pPr>
        <w:pStyle w:val="FirstParagraph"/>
      </w:pPr>
      <w:r>
        <w:t xml:space="preserve">Each matrix uses the pairwise common-coverage 100-m grid. Rows are Dynamic World classes and columns are ArcGIS-served classes after the frozen six-class crosswalk. These are product-label correspondences, not verified land-cover transitions or land-use truth. Zeros are retained explicitly.</w:t>
      </w:r>
    </w:p>
    <w:bookmarkStart w:id="12" w:name="section"/>
    <w:p>
      <w:pPr>
        <w:pStyle w:val="Heading2"/>
      </w:pPr>
      <w:r>
        <w:t xml:space="preserve">2017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 / ArcGIS-served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Water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Woody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Low vegetation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Wetland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Built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Bare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Water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14887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154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Woody vegetation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170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Low vegetation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Wetland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374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Built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8711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Bare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4726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1630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12762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34227</w:t>
            </w:r>
          </w:p>
        </w:tc>
      </w:tr>
    </w:tbl>
    <w:bookmarkEnd w:id="12"/>
    <w:bookmarkStart w:id="13" w:name="section-1"/>
    <w:p>
      <w:pPr>
        <w:pStyle w:val="Heading2"/>
      </w:pPr>
      <w:r>
        <w:t xml:space="preserve">2018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 / ArcGIS-served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Water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Woody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Low vegetation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Wetland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Built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Bare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Water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14466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Woody vegetation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Low vegetation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Wetland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194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Built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7321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Bare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5378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1806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14163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34316</w:t>
            </w:r>
          </w:p>
        </w:tc>
      </w:tr>
    </w:tbl>
    <w:bookmarkEnd w:id="13"/>
    <w:bookmarkStart w:id="14" w:name="section-2"/>
    <w:p>
      <w:pPr>
        <w:pStyle w:val="Heading2"/>
      </w:pPr>
      <w:r>
        <w:t xml:space="preserve">2019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 / ArcGIS-served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Water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Woody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Low vegetation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Wetland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Built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Bare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Water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14901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183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Woody vegetation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Low vegetation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Wetland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Built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8612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Bare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4650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1798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15384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31691</w:t>
            </w:r>
          </w:p>
        </w:tc>
      </w:tr>
    </w:tbl>
    <w:bookmarkEnd w:id="14"/>
    <w:bookmarkStart w:id="15" w:name="section-3"/>
    <w:p>
      <w:pPr>
        <w:pStyle w:val="Heading2"/>
      </w:pPr>
      <w:r>
        <w:t xml:space="preserve">2020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 / ArcGIS-served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Water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Woody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Low vegetation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Wetland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Built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Bare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Water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15100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Woody vegetation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Low vegetation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Wetland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Built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9179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Bare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4231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1883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11928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34283</w:t>
            </w:r>
          </w:p>
        </w:tc>
      </w:tr>
    </w:tbl>
    <w:bookmarkEnd w:id="15"/>
    <w:bookmarkStart w:id="16" w:name="section-4"/>
    <w:p>
      <w:pPr>
        <w:pStyle w:val="Heading2"/>
      </w:pPr>
      <w:r>
        <w:t xml:space="preserve">2021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 / ArcGIS-served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Water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Woody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Low vegetation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Wetland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Built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Bare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Water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15103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179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Woody vegetation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170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Low vegetation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Wetland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Built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8249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Bare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4222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1963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154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13078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34217</w:t>
            </w:r>
          </w:p>
        </w:tc>
      </w:tr>
    </w:tbl>
    <w:bookmarkEnd w:id="16"/>
    <w:bookmarkStart w:id="17" w:name="section-5"/>
    <w:p>
      <w:pPr>
        <w:pStyle w:val="Heading2"/>
      </w:pPr>
      <w:r>
        <w:t xml:space="preserve">2022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 / ArcGIS-served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Water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Woody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Low vegetation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Wetland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Built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Bare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Water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14930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Woody vegetation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Low vegetation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Wetland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636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Built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157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9108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Bare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4496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2125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18787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27534</w:t>
            </w:r>
          </w:p>
        </w:tc>
      </w:tr>
    </w:tbl>
    <w:bookmarkEnd w:id="17"/>
    <w:bookmarkStart w:id="18" w:name="section-6"/>
    <w:p>
      <w:pPr>
        <w:pStyle w:val="Heading2"/>
      </w:pPr>
      <w:r>
        <w:t xml:space="preserve">2023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 / ArcGIS-served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Water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Woody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Low vegetation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Wetland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Built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Bare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Water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15442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Woody vegetation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591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Low vegetation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Wetland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1054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Built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11839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Bare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3944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1993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19108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24331</w:t>
            </w:r>
          </w:p>
        </w:tc>
      </w:tr>
    </w:tbl>
    <w:bookmarkEnd w:id="18"/>
    <w:bookmarkStart w:id="19" w:name="section-7"/>
    <w:p>
      <w:pPr>
        <w:pStyle w:val="Heading2"/>
      </w:pPr>
      <w:r>
        <w:t xml:space="preserve">2024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 / ArcGIS-served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Water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Woody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Low vegetation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Wetland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Built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Bare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Water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15570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Woody vegetation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822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Low vegetation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Wetland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964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Built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15242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Bare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3723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1967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17987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22075</w:t>
            </w:r>
          </w:p>
        </w:tc>
      </w:tr>
    </w:tbl>
    <w:bookmarkEnd w:id="19"/>
    <w:bookmarkEnd w:id="20"/>
    <w:bookmarkStart w:id="21" w:name="X09b5b70f7058ed4a55bf4188c3b751eee15ce7e"/>
    <w:p>
      <w:pPr>
        <w:pStyle w:val="Heading1"/>
      </w:pPr>
      <w:r>
        <w:t xml:space="preserve">Supplementary Table S5 | Rolling-origin and external-product diagnostics</w:t>
      </w:r>
    </w:p>
    <w:p>
      <w:pPr>
        <w:pStyle w:val="FirstParagraph"/>
      </w:pPr>
      <w:r>
        <w:t xml:space="preserve">The rolling-origin rows use one-step expanding-window Geospatial Kernel fits</w:t>
      </w:r>
      <w:r>
        <w:t xml:space="preserve"> </w:t>
      </w:r>
      <w:r>
        <w:t xml:space="preserve">with observed target class totals supplied only to the oracle-demand allocator.</w:t>
      </w:r>
      <w:r>
        <w:t xml:space="preserve"> </w:t>
      </w:r>
      <w:r>
        <w:t xml:space="preserve">The leakage-controlled fits use 23 features and omit the later road snapshot</w:t>
      </w:r>
      <w:r>
        <w:t xml:space="preserve"> </w:t>
      </w:r>
      <w:r>
        <w:t xml:space="preserve">from every fold. Values are means across seeds 31, 47 and 73;</w:t>
      </w:r>
      <w:r>
        <w:t xml:space="preserve"> </w:t>
      </w:r>
      <w:r>
        <w:rPr>
          <w:rStyle w:val="VerbatimChar"/>
        </w:rPr>
        <w:t xml:space="preserve">±</w:t>
      </w:r>
      <w:r>
        <w:t xml:space="preserve"> </w:t>
      </w:r>
      <w:r>
        <w:t xml:space="preserve">is the sample standard</w:t>
      </w:r>
      <w:r>
        <w:t xml:space="preserve"> </w:t>
      </w:r>
      <w:r>
        <w:t xml:space="preserve">deviation across those three computational seeds. The spatial-block intervals</w:t>
      </w:r>
      <w:r>
        <w:t xml:space="preserve"> </w:t>
      </w:r>
      <w:r>
        <w:t xml:space="preserve">are paired contrasts from 1,000 resamples of 8 × 8 cells (800 m × 800 m).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Target year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Kernel strict FoM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Random strict FoM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Persistence strict FoM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Kernel − random 95% interval range across seeds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Kernel − persistence 95% interval range across seeds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0.2595 ± 0.0046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0.0524 ± 0.0069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[0.1704, 0.2529]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[0.2247, 0.3001]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0.0724 ± 0.0020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0.0048 ± 0.0016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[0.0543, 0.0812]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[0.0572, 0.0873]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0.2116 ± 0.0042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0.0200 ± 0.0005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[0.1686, 0.2126]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[0.1873, 0.2334]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0.1816 ± 0.0022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0.0323 ± 0.0013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[0.1317, 0.1658]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[0.1624, 0.1989]</w:t>
            </w:r>
          </w:p>
        </w:tc>
      </w:tr>
    </w:tbl>
    <w:p>
      <w:pPr>
        <w:pStyle w:val="BodyText"/>
      </w:pPr>
      <w:r>
        <w:t xml:space="preserve">WorldCover 2020 v1.0 and 2021 v2.0 built-fraction thresholds were 0.05,</w:t>
      </w:r>
      <w:r>
        <w:t xml:space="preserve"> </w:t>
      </w:r>
      <w:r>
        <w:t xml:space="preserve">0.10, 0.20 and 0.30. The values below are F1 scores for built stock in 2021</w:t>
      </w:r>
      <w:r>
        <w:t xml:space="preserve"> </w:t>
      </w:r>
      <w:r>
        <w:t xml:space="preserve">and built gain between 2020 and 2021. The original Dynamic World-count gain</w:t>
      </w:r>
      <w:r>
        <w:t xml:space="preserve"> </w:t>
      </w:r>
      <w:r>
        <w:t xml:space="preserve">comparison is structural-zero because Dynamic World built count decreases;</w:t>
      </w:r>
      <w:r>
        <w:t xml:space="preserve"> </w:t>
      </w:r>
      <w:r>
        <w:t xml:space="preserve">the count-controlled rows use the WorldCover gain count as the action and are</w:t>
      </w:r>
      <w:r>
        <w:t xml:space="preserve"> </w:t>
      </w:r>
      <w:r>
        <w:t xml:space="preserve">the informative allocation comparison. All comparisons remain external</w:t>
      </w:r>
      <w:r>
        <w:t xml:space="preserve"> </w:t>
      </w:r>
      <w:r>
        <w:t xml:space="preserve">public-product agreement diagnostics, not authoritative ground-truth validation.</w:t>
      </w:r>
      <w:r>
        <w:t xml:space="preserve"> </w:t>
      </w:r>
      <w:r>
        <w:t xml:space="preserve">For the two count-controlled action columns,</w:t>
      </w:r>
      <w:r>
        <w:t xml:space="preserve"> </w:t>
      </w:r>
      <w:r>
        <w:rPr>
          <w:rStyle w:val="VerbatimChar"/>
        </w:rPr>
        <w:t xml:space="preserve">±</w:t>
      </w:r>
      <w:r>
        <w:t xml:space="preserve"> </w:t>
      </w:r>
      <w:r>
        <w:t xml:space="preserve">is the three-seed sample SD.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Built fraction threshold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WorldCover built gain cells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Dynamic World built-gain F1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Dynamic World 2020 same-year stock F1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Dynamic World 2021 same-year stock F1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Kernel 2021 built-stock F1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Persistence 2021 built-stock F1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Kernel built-gain F1 (structural-zero)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Kernel F1 (WorldCover-count action, mean ± SD)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Random F1 (WorldCover-count action, mean ± SD)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1,802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0.0111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0.3908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0.3501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0.3518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0.3886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0.0157 ± 0.0008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0.0268 ± 0.0058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1,566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0.0135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0.3998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0.3603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0.3625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0.4003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0.0228 ± 0.0007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0.0277 ± 0.0036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1,445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0.0188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0.4186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0.3780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0.3814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0.4209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0.0268 ± 0.0011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0.0251 ± 0.0011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1,511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0.0192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0.4334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0.3924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0.3971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0.4387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0.0397 ± 0.0007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0.0251 ± 0.0075</w:t>
            </w:r>
          </w:p>
        </w:tc>
      </w:tr>
    </w:tbl>
    <w:p>
      <w:pPr>
        <w:pStyle w:val="BodyText"/>
      </w:pPr>
      <w:r>
        <w:t xml:space="preserve">Kernel was below random at 0.05, the 0.10–0.20 differences were not</w:t>
      </w:r>
      <w:r>
        <w:t xml:space="preserve"> </w:t>
      </w:r>
      <w:r>
        <w:t xml:space="preserve">distinguishable from three-seed variation, and only the 0.30 result was clearly</w:t>
      </w:r>
      <w:r>
        <w:t xml:space="preserve"> </w:t>
      </w:r>
      <w:r>
        <w:t xml:space="preserve">above random. The low-threshold deficit is consistent with WorldCover cells</w:t>
      </w:r>
      <w:r>
        <w:t xml:space="preserve"> </w:t>
      </w:r>
      <w:r>
        <w:t xml:space="preserve">that barely exceed 5% built fraction, including sparse or road-edge structure</w:t>
      </w:r>
      <w:r>
        <w:t xml:space="preserve"> </w:t>
      </w:r>
      <w:r>
        <w:t xml:space="preserve">that Dynamic World does not consistently label as built.</w:t>
      </w:r>
    </w:p>
    <w:p>
      <w:pPr>
        <w:pStyle w:val="BodyText"/>
      </w:pPr>
      <w:r>
        <w:t xml:space="preserve">The rolling 2023 row is a one-step forecast with 23 features and training</w:t>
      </w:r>
      <w:r>
        <w:t xml:space="preserve"> </w:t>
      </w:r>
      <w:r>
        <w:t xml:space="preserve">through 2022, whereas the headline 2023 result uses 25 features and training</w:t>
      </w:r>
      <w:r>
        <w:t xml:space="preserve"> </w:t>
      </w:r>
      <w:r>
        <w:t xml:space="preserve">through 2021. Rolling 2024 is also one-step, while headline 2024 is a two-step</w:t>
      </w:r>
      <w:r>
        <w:t xml:space="preserve"> </w:t>
      </w:r>
      <w:r>
        <w:t xml:space="preserve">open-loop rollout; these rows are not directly comparable point estimates.</w:t>
      </w:r>
    </w:p>
    <w:p>
      <w:pPr>
        <w:pStyle w:val="BodyText"/>
      </w:pPr>
      <w:r>
        <w:t xml:space="preserve">Source data and machine-readable details are provided in</w:t>
      </w:r>
      <w:r>
        <w:t xml:space="preserve"> </w:t>
      </w:r>
      <w:r>
        <w:rPr>
          <w:rStyle w:val="VerbatimChar"/>
        </w:rPr>
        <w:t xml:space="preserve">artifacts/rolling_backtest/report.json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artifacts/rolling_backtest/paired_spatial_uncertainty.json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artifacts/external_validation/worldcover/diagnostic.json</w:t>
      </w:r>
      <w:r>
        <w:t xml:space="preserve">.</w:t>
      </w:r>
    </w:p>
    <w:bookmarkEnd w:id="21"/>
    <w:bookmarkStart w:id="25" w:name="X7a7ab3e6ea0f283f78d97739958d6f0f5ba5e08"/>
    <w:p>
      <w:pPr>
        <w:pStyle w:val="Heading1"/>
      </w:pPr>
      <w:r>
        <w:t xml:space="preserve">Supplementary Table S6. Cross-product historical robustness</w:t>
      </w:r>
    </w:p>
    <w:p>
      <w:pPr>
        <w:pStyle w:val="FirstParagraph"/>
      </w:pPr>
      <w:r>
        <w:t xml:space="preserve">All values use the frozen Abu Dhabi city 100-m grid. Strict destination-change FoM values are means across seeds 31, 47 and 73. Each expanding-window fold fits only observations available through its origin year; the target label supplies oracle class totals and evaluation only. Dynamic World and the ArcGIS-served Impact Observatory/Microsoft/Esri series retain their product-native label and aggregation-quality semantics, so this is a whole-product-pipeline robustness test rather than an isolated label substitution. Neither product is authoritative local land-use truth.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766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Target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Observed change (%)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One-year reversion (%)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FLUS-style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Kernel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GeoFM-LDN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3.05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38.90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0.0492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0.1627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0.2595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0.2469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3.45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33.31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0.0618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0.0724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0.0584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5.65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10.39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0.0217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0.1150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0.2116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0.1663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6.24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n/a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0.0312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0.0967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0.1816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0.1661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ArcGIS-served IO/MS/Esri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4.06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42.61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0.0625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0.0154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0.0314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ArcGIS-served IO/MS/Esri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10.59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5.53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0.0923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0.2227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0.2775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0.4488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ArcGIS-served IO/MS/Esri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6.07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20.47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0.0471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0.1016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0.1619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0.1561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ArcGIS-served IO/MS/Esri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5.26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28.26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0.0406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0.1197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0.1674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0.1312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ArcGIS-served IO/MS/Esri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4.50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n/a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0.0731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0.0579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0.0654</w:t>
            </w:r>
          </w:p>
        </w:tc>
      </w:tr>
    </w:tbl>
    <w:bookmarkStart w:id="22" w:name="matched-product-difference-sensitivity"/>
    <w:p>
      <w:pPr>
        <w:pStyle w:val="Heading2"/>
      </w:pPr>
      <w:r>
        <w:t xml:space="preserve">Matched product-difference sensitivity</w:t>
      </w:r>
    </w:p>
    <w:p>
      <w:pPr>
        <w:pStyle w:val="FirstParagraph"/>
      </w:pPr>
      <w:r>
        <w:t xml:space="preserve">Intervals are ArcGIS-served minus Dynamic World mean strict FoM for the four paired targets. The 2022 target follows the documented 2021–2022 ArcGIS class-composition break, so the right-hand interval isolates the remaining folds rather than treating its sign as ordinary product variation. A negative value means lower agreement with the ArcGIS-served product under the product-specific pipeline; it does not identify which product is correct.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188"/>
        <w:gridCol w:w="1188"/>
        <w:gridCol w:w="1584"/>
        <w:gridCol w:w="1188"/>
        <w:gridCol w:w="1584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All matched targets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All-target interval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Excluding 2022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Excluding-2022 interval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Direction excluding 2022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FLUS-style ANN–CA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2021,2022,2023,2024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-0.100 to +0.161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2021,2023,2024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-0.100 to +0.023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mixed remaining folds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Geospatial Kernel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2021,2022,2023,2024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-0.244 to +0.205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2021,2023,2024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-0.244 to -0.014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negative in every remaining fold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GeoFM-LDN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2021,2022,2023,2024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-0.215 to +0.390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2021,2023,2024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-0.215 to -0.010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negative in every remaining fold</w:t>
            </w:r>
          </w:p>
        </w:tc>
      </w:tr>
    </w:tbl>
    <w:p>
      <w:pPr>
        <w:pStyle w:val="BodyText"/>
      </w:pPr>
      <w:r>
        <w:t xml:space="preserve">Same-year agreement between the two harmonized products is reported below. A 100-m cell contributes only where both products have a usable canonical label.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All-class agreement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Built-class IoU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Dynamic World built (km2)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ArcGIS-served built (km2)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0.7346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0.3938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91.05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217.25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0.7114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0.3328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75.82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217.34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0.7015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0.3501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89.07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243.03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0.7451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0.4193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96.42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214.29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0.7324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0.3765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85.53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216.07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0.6553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0.3200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93.59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282.14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0.6514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0.3750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121.21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312.88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0.6674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0.4494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155.98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335.57</w:t>
            </w:r>
          </w:p>
        </w:tc>
      </w:tr>
    </w:tbl>
    <w:bookmarkEnd w:id="22"/>
    <w:bookmarkStart w:id="23" w:name="product-native-annual-class-stocks"/>
    <w:p>
      <w:pPr>
        <w:pStyle w:val="Heading2"/>
      </w:pPr>
      <w:r>
        <w:t xml:space="preserve">Product-native annual class stocks</w:t>
      </w:r>
    </w:p>
    <w:p>
      <w:pPr>
        <w:pStyle w:val="FirstParagraph"/>
      </w:pPr>
      <w:r>
        <w:t xml:space="preserve">Counts below use each product’s own city-valid 100-m state layer, rather than the smaller pairwise common-coverage mask. They describe mapped class prevalence, not verified land-cover change or land-use truth.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678"/>
        <w:gridCol w:w="905"/>
        <w:gridCol w:w="905"/>
        <w:gridCol w:w="905"/>
        <w:gridCol w:w="905"/>
        <w:gridCol w:w="905"/>
        <w:gridCol w:w="905"/>
        <w:gridCol w:w="905"/>
        <w:gridCol w:w="9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Valid cells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Water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Woody vegetation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Low vegetation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Wetland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Built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Bare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79760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15390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974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9105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53463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79769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14851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363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918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7582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55744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79759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15334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1009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8907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53637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79761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15567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544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1014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9642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52514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79747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15534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534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1016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8553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53642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79765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15438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1011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9359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52990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79750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15987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688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461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1096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12121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49397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79749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16062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917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15598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45764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ArcGIS-served IO/MS/Esri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79775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265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2211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615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21725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34678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ArcGIS-served IO/MS/Esri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79775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20419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2287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21734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34589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ArcGIS-served IO/MS/Esri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79775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2333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648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24303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31977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ArcGIS-served IO/MS/Esri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79775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20021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2429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850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21429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34773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ArcGIS-served IO/MS/Esri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79775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20035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2526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21608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34521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ArcGIS-served IO/MS/Esri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79775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20423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2739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28214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27821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ArcGIS-served IO/MS/Esri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79775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21168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2585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31288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24688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ArcGIS-served IO/MS/Esri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79775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21193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2581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33557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22408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ArcGIS-served IO/MS/Esri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79775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21180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2694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32731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23151</w:t>
            </w:r>
          </w:p>
        </w:tc>
      </w:tr>
    </w:tbl>
    <w:p>
      <w:pPr>
        <w:pStyle w:val="BodyText"/>
      </w:pPr>
      <w:r>
        <w:t xml:space="preserve">The ArcGIS-served sequence has a material class-composition discontinuity: built rises from 21,608 cells in 2021 to 28,214 in 2022, while bare falls from 34,521 to 27,821; woody vegetation and wetland later approach zero. The upstream Living Atlas item does not publish annual model-version identifiers, so this table cannot assign a cause. It is therefore evidence of a product-series break, not evidence that these mapped transitions occurred on the ground.</w:t>
      </w:r>
    </w:p>
    <w:p>
      <w:pPr>
        <w:pStyle w:val="BodyText"/>
      </w:pPr>
      <w:r>
        <w:t xml:space="preserve">The full annual 6 x 6 Dynamic World-to-ArcGIS class matrix is supplied as</w:t>
      </w:r>
      <w:r>
        <w:t xml:space="preserve"> </w:t>
      </w:r>
      <w:r>
        <w:rPr>
          <w:rStyle w:val="VerbatimChar"/>
        </w:rPr>
        <w:t xml:space="preserve">results_arcgis_v2/paper_refresh/cross_product_class_matrix.csv</w:t>
      </w:r>
      <w:r>
        <w:t xml:space="preserve">. Its rows use the pairwise common-coverage grid; zeros are retained so every annual matrix is explicit.</w:t>
      </w:r>
    </w:p>
    <w:bookmarkEnd w:id="23"/>
    <w:bookmarkStart w:id="24" w:name="rangeland-crosswalk-sensitivity"/>
    <w:p>
      <w:pPr>
        <w:pStyle w:val="Heading2"/>
      </w:pPr>
      <w:r>
        <w:t xml:space="preserve">Rangeland crosswalk sensitivity</w:t>
      </w:r>
    </w:p>
    <w:p>
      <w:pPr>
        <w:pStyle w:val="FirstParagraph"/>
      </w:pPr>
      <w:r>
        <w:t xml:space="preserve">The source service names raw class 11</w:t>
      </w:r>
      <w:r>
        <w:t xml:space="preserve"> </w:t>
      </w:r>
      <w:r>
        <w:rPr>
          <w:rStyle w:val="VerbatimChar"/>
        </w:rPr>
        <w:t xml:space="preserve">Rangeland</w:t>
      </w:r>
      <w:r>
        <w:t xml:space="preserve">. The frozen benchmark maps it to low vegetation. The counterfactual below maps only raw class 11 to bare before the identical 10 x 10 majority aggregation. No model was refit, so this is a label-aggregation sensitivity, not a historical-skill or planning-rank sensitivity.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Raw rangeland 10-m pixels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Changed 100-m labels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Baseline low vegetation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Alternate low vegetation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Baseline bare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Alternate bare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233306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2265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2211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34678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36937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242279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2346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2287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34589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36928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247521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2384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2333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31977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34355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257835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2484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2429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34773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37248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268400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2589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2526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34521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37102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289017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2792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2739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27821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30605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275034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2652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2585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24688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27325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272030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2653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2581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22408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25052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282750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2754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2694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23151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25891</w:t>
            </w:r>
          </w:p>
        </w:tc>
      </w:tr>
    </w:tbl>
    <w:p>
      <w:pPr>
        <w:pStyle w:val="BodyText"/>
      </w:pPr>
      <w:r>
        <w:t xml:space="preserve">ArcGIS report SHA-256 (LF-normalized text):</w:t>
      </w:r>
      <w:r>
        <w:t xml:space="preserve"> </w:t>
      </w:r>
      <w:r>
        <w:rPr>
          <w:rStyle w:val="VerbatimChar"/>
        </w:rPr>
        <w:t xml:space="preserve">d80d2e8ca640686a27cec24cba2ec178dd40ec654ec5f3fd3a63a12c0eb2bcbd</w:t>
      </w:r>
      <w:r>
        <w:t xml:space="preserve">.</w:t>
      </w:r>
    </w:p>
    <w:p>
      <w:pPr>
        <w:pStyle w:val="BodyText"/>
      </w:pPr>
      <w:r>
        <w:t xml:space="preserve">Dynamic World report SHA-256 (LF-normalized text):</w:t>
      </w:r>
      <w:r>
        <w:t xml:space="preserve"> </w:t>
      </w:r>
      <w:r>
        <w:rPr>
          <w:rStyle w:val="VerbatimChar"/>
        </w:rPr>
        <w:t xml:space="preserve">bce1043f8478288aff2b5808f3b5521c139c47e265d12a465f928379ff2f7fe8</w:t>
      </w:r>
      <w:r>
        <w:t xml:space="preserve">.</w:t>
      </w:r>
    </w:p>
    <w:bookmarkEnd w:id="24"/>
    <w:bookmarkEnd w:id="25"/>
    <w:bookmarkStart w:id="27" w:name="X81debd797c7686d5eb8c883d8d23e51b64f1a96"/>
    <w:p>
      <w:pPr>
        <w:pStyle w:val="Heading1"/>
      </w:pPr>
      <w:r>
        <w:t xml:space="preserve">Supplementary Table S7. Net-change limits and conditional model contrasts</w:t>
      </w:r>
    </w:p>
    <w:p>
      <w:pPr>
        <w:pStyle w:val="FirstParagraph"/>
      </w:pPr>
      <w:r>
        <w:t xml:space="preserve">Derived from frozen three-seed expanding-window reports; no models were refit. Origin counts are recovered from persistence outputs on the same evaluation mask. M is half the L1 difference between origin and feasible target class totals. O is observed gross change. For strict destination-change FoM, hits cannot exceed min(M,O), and the union contains at least max(M,O) cells, hence FoM &lt;= min(M,O)/max(M,O). This loose count-only upper bound is not necessarily attainable: destination, hard-mask and spatial restrictions can lower the achievable maximum. Feasible counts may differ from observed counts. The bound is not a corrected skill score or a validation reference.</w:t>
      </w:r>
    </w:p>
    <w:p>
      <w:pPr>
        <w:pStyle w:val="BodyText"/>
      </w:pPr>
      <w:r>
        <w:t xml:space="preserve">The count-only bound applies only to the exact minimum-change projections (Kernel, GeoFM-LDN and random minimum-change), each of which changes exactly M cells. The finite-iteration FLUS-style CA can meet near-exact final class totals through simultaneous class inflows and outflows and therefore can change more than M cells; it is not constrained by this bound. The seed triplets below expose this asymmetric transition budget.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609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Target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Exact-count FoM upper bound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FLUS changed cells (31/47/73)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Kernel changed cells (31/47/73)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GeoFM-LDN changed cells (31/47/73)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Random changed cells (31/47/73)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Kernel FoM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2429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1115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0.4590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5820/5684/4919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1115/1115/1115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1115/1115/1115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1115/1115/1115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0.2595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2749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0.2885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1174/1091/1139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793/793/793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793/793/793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793/793/793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0.0724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4500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3080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0.6844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3618/3393/4125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3080/3080/3080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3080/3080/3080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3080/3080/3080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0.2116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4972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3696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0.7434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10219/7017/9558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3696/3696/3696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3696/3696/3696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3696/3696/3696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0.1816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3241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0.0858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6860/779/2291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278/278/278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278/278/278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278/278/278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0.0154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8446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6864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0.8127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7618/7552/12472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6864/6864/6864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6864/6864/6864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6864/6864/6864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0.2775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4846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3223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0.6651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5367/3975/4236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3223/3223/3223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3223/3223/3223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3223/3223/3223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0.1619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4197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2281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0.5435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2822/4781/3080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2281/2281/2281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2281/2281/2281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2281/2281/2281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0.1674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3587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849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0.2367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1651/957/6693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849/849/849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849/849/849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849/849/849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0.0579</w:t>
            </w:r>
          </w:p>
        </w:tc>
      </w:tr>
    </w:tbl>
    <w:p>
      <w:pPr>
        <w:pStyle w:val="BodyText"/>
      </w:pPr>
      <w:r>
        <w:t xml:space="preserve">For the ArcGIS folds, the exact-count upper bounds span 0.0858–0.8127 across all targets and 0.0858–0.6651 after excluding the 2022 product-series-break target. This sensitivity concerns the net-versus-gross change relation, not verified land-cover accuracy.</w:t>
      </w:r>
    </w:p>
    <w:bookmarkStart w:id="26" w:name="Xee603fff9eb49b505c39cbf37f6548b299209ac"/>
    <w:p>
      <w:pPr>
        <w:pStyle w:val="Heading2"/>
      </w:pPr>
      <w:r>
        <w:t xml:space="preserve">Seed-specific paired spatial-block intervals</w:t>
      </w:r>
    </w:p>
    <w:p>
      <w:pPr>
        <w:pStyle w:val="FirstParagraph"/>
      </w:pPr>
      <w:r>
        <w:t xml:space="preserve">Each interval uses the archived 1,000 shared resamples of 8 × 8 cells. Seeds are computational replicates, not independent field samples. Intervals are conditional on each product, fold, seed and mask; no pooled confidence interval or multiple-comparison adjustment is claimed. An interval containing zero does not establish equivalence. Block-size sensitivity and spatial transfer remain untested.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819"/>
        <w:gridCol w:w="1092"/>
        <w:gridCol w:w="819"/>
        <w:gridCol w:w="1092"/>
        <w:gridCol w:w="1092"/>
        <w:gridCol w:w="1092"/>
        <w:gridCol w:w="1092"/>
        <w:gridCol w:w="81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Target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Contrast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Seed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Lower 95%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Upper 95%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Direction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2021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Kernel minus FLUS-style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0.1057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0.0810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0.1286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positive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2021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Kernel minus FLUS-style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0.0993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0.0764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0.1235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positive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2021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Kernel minus FLUS-style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0.0841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0.0616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0.1090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positive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2021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GeoFM-LDN minus Kernel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-0.0249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-0.0456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-0.0044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negative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2021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GeoFM-LDN minus Kernel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-0.0028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-0.0210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0.0177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includes_zero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2021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GeoFM-LDN minus Kernel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-0.0103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-0.0290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0.0077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includes_zero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2022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Kernel minus FLUS-style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-0.0010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0.0180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includes_zero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2022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Kernel minus FLUS-style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0.0137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0.0248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positive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2022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Kernel minus FLUS-style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0.0196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positive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2022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GeoFM-LDN minus Kernel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-0.0178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-0.0279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-0.0079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negative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2022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GeoFM-LDN minus Kernel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-0.0131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-0.0245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-0.0022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negative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2022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GeoFM-LDN minus Kernel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-0.0109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-0.0214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-0.0014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negative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2023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Kernel minus FLUS-style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0.0987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0.0844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0.1138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positive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2023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Kernel minus FLUS-style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0.0488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0.0375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0.0599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positive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2023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Kernel minus FLUS-style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0.1411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0.1253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0.1592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positive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2023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GeoFM-LDN minus Kernel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-0.0420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-0.0568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-0.0272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negative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2023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GeoFM-LDN minus Kernel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-0.0449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-0.0613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-0.0289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negative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2023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GeoFM-LDN minus Kernel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-0.0478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-0.0637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-0.0318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negative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2024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Kernel minus FLUS-style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0.1107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0.0964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0.1267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positive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2024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Kernel minus FLUS-style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0.0806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0.0602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0.0997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positive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2024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Kernel minus FLUS-style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0.0627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0.0491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0.0773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positive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2024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GeoFM-LDN minus Kernel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-0.0170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-0.0280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-0.0053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negative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2024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GeoFM-LDN minus Kernel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-0.0095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-0.0213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0.0030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includes_zero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Dynamic World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2024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GeoFM-LDN minus Kernel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-0.0197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-0.0320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-0.0078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negative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2021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Kernel minus FLUS-style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-0.0698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-0.0866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-0.0543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negative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2021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Kernel minus FLUS-style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-0.0179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-0.0282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-0.0059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negative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2021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Kernel minus FLUS-style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-0.0536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-0.0671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-0.0411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negative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2021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GeoFM-LDN minus Kernel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0.0173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0.0371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positive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2021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GeoFM-LDN minus Kernel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0.0157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0.0399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positive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2021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GeoFM-LDN minus Kernel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0.0131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-0.0010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0.0306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includes_zero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2022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Kernel minus FLUS-style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0.1537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0.1269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0.1799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positive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2022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Kernel minus FLUS-style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-0.0145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-0.0487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0.0181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includes_zero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2022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Kernel minus FLUS-style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0.0257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-0.0134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0.0669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includes_zero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2022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GeoFM-LDN minus Kernel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0.1588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0.1266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0.1947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positive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2022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GeoFM-LDN minus Kernel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0.1743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0.1391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0.2084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positive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2022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GeoFM-LDN minus Kernel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0.1783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0.1418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0.2121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positive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2023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Kernel minus FLUS-style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0.0596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0.0429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0.0761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positive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2023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Kernel minus FLUS-style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0.0451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0.0315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0.0590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positive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2023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Kernel minus FLUS-style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0.0759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0.0495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0.1001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positive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2023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GeoFM-LDN minus Kernel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-0.0020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-0.0222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0.0182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includes_zero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2023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GeoFM-LDN minus Kernel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-0.0102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-0.0299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0.0078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includes_zero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2023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GeoFM-LDN minus Kernel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-0.0049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-0.0249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0.0144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includes_zero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2024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Kernel minus FLUS-style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0.0502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0.0299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0.0722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positive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2024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Kernel minus FLUS-style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0.0435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0.0209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0.0637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positive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2024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Kernel minus FLUS-style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0.0492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0.0286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0.0707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positive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2024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GeoFM-LDN minus Kernel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-0.0461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-0.0705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-0.0215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negative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2024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GeoFM-LDN minus Kernel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-0.0125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-0.0407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0.0127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includes_zero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2024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GeoFM-LDN minus Kernel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-0.0495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-0.0756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-0.0233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negative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2025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Kernel minus FLUS-style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-0.0053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-0.0173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0.0073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includes_zero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2025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Kernel minus FLUS-style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-0.0054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0.0262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includes_zero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2025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Kernel minus FLUS-style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-0.0492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-0.0669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-0.0323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negative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2025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GeoFM-LDN minus Kernel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-0.0143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0.0189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includes_zero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2025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GeoFM-LDN minus Kernel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-0.0130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0.0174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includes_zero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ArcGIS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2025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GeoFM-LDN minus Kernel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0.0172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0.0003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13"/>
              </w:rPr>
              <w:t xml:space="preserve">0.0362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/>
                <w:sz w:val="13"/>
              </w:rPr>
              <w:t xml:space="preserve">positive</w:t>
            </w:r>
          </w:p>
        </w:tc>
      </w:tr>
    </w:tbl>
    <w:bookmarkEnd w:id="26"/>
    <w:bookmarkEnd w:id="27"/>
    <w:sectPr>
      <w:footnotePr>
        <w:numRestart w:val="eachSect"/>
      </w:footnotePr>
      <w:pgSz w:orient="landscape" w:w="16838" w:h="11906"/>
      <w:pgMar w:left="850" w:right="850" w:top="850" w:bottom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sz w:val="16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2026-09-15T06:05:25Z</dcterms:created>
  <dcterms:modified xsi:type="dcterms:W3CDTF">2026-09-15T06:05:25Z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