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Cross-product backtests expose product dependence and a series discontinuity.</w:t>
      </w:r>
    </w:p>
    <w:p>
      <w:pPr>
        <w:pStyle w:val="Compact"/>
        <w:numPr>
          <w:ilvl w:val="0"/>
          <w:numId w:val="1001"/>
        </w:numPr>
      </w:pPr>
      <w:r>
        <w:t xml:space="preserve">Numerical rankings depend on product and conditional paired uncertainty.</w:t>
      </w:r>
    </w:p>
    <w:p>
      <w:pPr>
        <w:pStyle w:val="Compact"/>
        <w:numPr>
          <w:ilvl w:val="0"/>
          <w:numId w:val="1001"/>
        </w:numPr>
      </w:pPr>
      <w:r>
        <w:t xml:space="preserve">Proposal–projection–writeback traces preserve allocation auditability.</w:t>
      </w:r>
    </w:p>
    <w:p>
      <w:pPr>
        <w:pStyle w:val="Compact"/>
        <w:numPr>
          <w:ilvl w:val="0"/>
          <w:numId w:val="1001"/>
        </w:numPr>
      </w:pPr>
      <w:r>
        <w:t xml:space="preserve">Net-change allocation restricts exact minimum-change scores, not CA scores.</w:t>
      </w:r>
    </w:p>
    <w:p>
      <w:pPr>
        <w:pStyle w:val="Compact"/>
        <w:numPr>
          <w:ilvl w:val="0"/>
          <w:numId w:val="1001"/>
        </w:numPr>
      </w:pPr>
      <w:r>
        <w:t xml:space="preserve">The 2026–2031 maps remain 100-m stress tests, not statutory forecasts.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2026-09-15T06:06:14Z</dcterms:created>
  <dcterms:modified xsi:type="dcterms:W3CDTF">2026-09-15T06:06:14Z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