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3.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the primary unmatched-pipeline test, strict FoM was 0.1961 for Geospatial Kernel, 0.1256 for a GeoSOS-derived FLUS-style ANN–CA console and 0.1619 for GeoFM-LDN in 2023; GeoFM-LDN led after recursive two-step rollout in 2024. A separate leakage-controlled expanding-window analysis, excluding the later road snapshot, gave Kernel FoM values of 0.2595, 0.0724, 0.2116 and 0.1816 for the four one-step targets from 2021 to 2024, exceeding a random minimum-change allocator in every window. In the only available WorldCover 2020–2021 window, Dynamic World built pixels decreased, so the oracle-demand built-gain test had zero power for every allocator. Dynamic World-to-WorldCover built-gain F1 was 0.0111–0.0192; a count-controlled allocation variant gave Kernel F1 values of 0.0157–0.0397 versus 0.0251–0.0277 for random allocation, with Kernel higher at the two larger thresholds. The planning track is therefore reported as scenario stress testing, not official forecasting. The protocol’s principal contribution is an inspectable proposal–projection–writeback boundary; the experiments support conditional allocation auditability, not verified prediction of Abu Dhabi’s actual future.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Rolling-origin and spatial-block tests expose temporal variability.</w:t>
      </w:r>
    </w:p>
    <w:p>
      <w:pPr>
        <w:pStyle w:val="Compact"/>
        <w:numPr>
          <w:ilvl w:val="0"/>
          <w:numId w:val="1001"/>
        </w:numPr>
      </w:pPr>
      <w:r>
        <w:t xml:space="preserve">External-product diagnostics separate label disagreement from allocation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confidence-filter retention, expanding-window temporal tests, zero-model controls and external-product disagreement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p>
      <w:pPr>
        <w:pStyle w:val="BodyText"/>
      </w:pPr>
      <w:r>
        <w:t xml:space="preserve">An additional Geospatial Kernel analysis used four expanding one-step windows with origins in 2020–2023. For origin year</w:t>
      </w:r>
      <w:r>
        <w:t xml:space="preserve"> </w:t>
      </w:r>
      <m:oMath>
        <m:r>
          <m:t>t</m:t>
        </m:r>
      </m:oMath>
      <w:r>
        <w:t xml:space="preserve">, training included only transitions whose target year was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and fitting. The held-out target supplied its observed class counts to the oracle-demand allocator and was then used for evaluation. This design isolates spatial allocation conditional on known demand and is not an end-to-end demand forecast. Early folds locked only origin-year water and wetland cells and omitted the two road-distance features, because applying the 2021 WorldCover proxy or the later OpenStreetMap snapshot to earlier folds would introduce future information. The resulting rolling proposal has 23 features. A machine-tested temporal firewall records the last training target, prediction target and permitted target-year uses for every run. The headline 2023–2024 analysis is less strict: it uses the OSM road snapshot accessed on 31 July 2026, which may include roads built after the corresponding prediction years (including after 2022). This snapshot is supplied symmetrically to all three pipelines, so it does not change their ordering, but it can affect absolute scores; the rolling-origin results are the strict no-road-snapshot boundary.</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312 historical, rolling-origin and planning predictions plus two frozen WorldCover evidence rasters, with zero failures. The vector layers preserve raster-cell geometry and should not be interpreted as cadastral parcels.</w:t>
      </w:r>
    </w:p>
    <w:bookmarkEnd w:id="20"/>
    <w:bookmarkEnd w:id="21"/>
    <w:bookmarkStart w:id="46"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6"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Kernel was</w:t>
      </w:r>
      <w:r>
        <w:t xml:space="preserve"> </w:t>
      </w:r>
      <w:r>
        <w:t xml:space="preserve">higher at thresholds 0.20 and 0.30, but lower at 0.05 and 0.10. For 2021 built</w:t>
      </w:r>
      <w:r>
        <w:t xml:space="preserve"> </w:t>
      </w:r>
      <w:r>
        <w:t xml:space="preserve">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pPr>
      <w:r>
        <w:t xml:space="preserve">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4.</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4" name="Picture"/>
            <a:graphic>
              <a:graphicData uri="http://schemas.openxmlformats.org/drawingml/2006/picture">
                <pic:pic>
                  <pic:nvPicPr>
                    <pic:cNvPr descr="figures/fig04_planning_objectives.png" id="35" name="Picture"/>
                    <pic:cNvPicPr>
                      <a:picLocks noChangeArrowheads="1" noChangeAspect="1"/>
                    </pic:cNvPicPr>
                  </pic:nvPicPr>
                  <pic:blipFill>
                    <a:blip r:embed="rId33"/>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6"/>
    <w:bookmarkStart w:id="37"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5A shows focused proposal controls, and Fig. 5B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7"/>
    <w:bookmarkStart w:id="41"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9" name="Picture"/>
            <a:graphic>
              <a:graphicData uri="http://schemas.openxmlformats.org/drawingml/2006/picture">
                <pic:pic>
                  <pic:nvPicPr>
                    <pic:cNvPr descr="figures/fig05_mechanism_ablation.png" id="40" name="Picture"/>
                    <pic:cNvPicPr>
                      <a:picLocks noChangeArrowheads="1" noChangeAspect="1"/>
                    </pic:cNvPicPr>
                  </pic:nvPicPr>
                  <pic:blipFill>
                    <a:blip r:embed="rId38"/>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1"/>
    <w:bookmarkStart w:id="45"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312 historical,</w:t>
      </w:r>
      <w:r>
        <w:t xml:space="preserve"> </w:t>
      </w:r>
      <w:r>
        <w:t xml:space="preserve">rolling-origin and planning prediction records passed the raster audit, and the</w:t>
      </w:r>
      <w:r>
        <w:t xml:space="preserve"> </w:t>
      </w:r>
      <w:r>
        <w:t xml:space="preserve">two frozen WorldCover evidence rasters passed the evidence audit. Fig. 6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3" name="Picture"/>
            <a:graphic>
              <a:graphicData uri="http://schemas.openxmlformats.org/drawingml/2006/picture">
                <pic:pic>
                  <pic:nvPicPr>
                    <pic:cNvPr descr="figures/fig06_planning_maps_2031.png" id="44" name="Picture"/>
                    <pic:cNvPicPr>
                      <a:picLocks noChangeArrowheads="1" noChangeAspect="1"/>
                    </pic:cNvPicPr>
                  </pic:nvPicPr>
                  <pic:blipFill>
                    <a:blip r:embed="rId42"/>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5"/>
    <w:bookmarkEnd w:id="46"/>
    <w:bookmarkStart w:id="4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In the separate rolling analysis, Kernel exceeds both zero models in all four one-step windows, but its score varies from 0.0724 to 0.2595 after excluding the later road snapshot. The WorldCover diagnostic does not provide a blanket external validation: the original Dynamic World-count gain comparison is structurally zero-powered because the observed built count declines. The count-controlled variant supplies an informative but mixed allocation comparison, with Kernel exceeding random allocation only at the two larger thresholds. Confidence filtering, rolling-window stability and external-product agreement are different tests, and none substitutes for authoritative local validation.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the available</w:t>
      </w:r>
      <w:r>
        <w:t xml:space="preserve"> </w:t>
      </w:r>
      <w:r>
        <w:t xml:space="preserve">2020–2021 WorldCover diagnostic is neither fully independent nor authoritative,</w:t>
      </w:r>
      <w:r>
        <w:t xml:space="preserve"> </w:t>
      </w:r>
      <w:r>
        <w:t xml:space="preserve">and no external 2023–2024 change product or observed 2025–2031 labels was</w:t>
      </w:r>
      <w:r>
        <w:t xml:space="preserve"> </w:t>
      </w:r>
      <w:r>
        <w:t xml:space="preserve">available. The headline analysis also uses a 31 July 2026 OSM road snapshot,</w:t>
      </w:r>
      <w:r>
        <w:t xml:space="preserve"> </w:t>
      </w:r>
      <w:r>
        <w:t xml:space="preserve">which may contain roads constructed after 2022. This information is shared by</w:t>
      </w:r>
      <w:r>
        <w:t xml:space="preserve"> </w:t>
      </w:r>
      <w:r>
        <w:t xml:space="preserve">all three pipelines and therefore does not change their ordering, but it can</w:t>
      </w:r>
      <w:r>
        <w:t xml:space="preserve"> </w:t>
      </w:r>
      <w:r>
        <w:t xml:space="preserve">affect absolute scores;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2024,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7"/>
    <w:bookmarkStart w:id="4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versioned reproducibility release is archived at Zenodo v1.0.0 (https://doi.org/10.5281/zenodo.22663476), corresponding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This archive DOI identifies the public-data benchmark and software/data package, not the eventual journal article DOI. Large rasters, GeoPackages and model checkpoints remain Git LFS objects in the GitHub repository; a full numerical rerun requires fetching those objects, whereas the automatically generated Zenodo GitHub ZIP may contain their pointer files.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bookmarkEnd w:id="48"/>
    <w:bookmarkStart w:id="4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public reproducibility release is</w:t>
      </w:r>
      <w:r>
        <w:t xml:space="preserve"> </w:t>
      </w:r>
      <w:r>
        <w:t xml:space="preserve">archived at Zenodo v1.0.0: https://doi.org/10.5281/zenodo.22663476. It</w:t>
      </w:r>
      <w:r>
        <w:t xml:space="preserve"> </w:t>
      </w:r>
      <w:r>
        <w:t xml:space="preserve">corresponds to GitHub tag</w:t>
      </w:r>
      <w:r>
        <w:t xml:space="preserve"> </w:t>
      </w:r>
      <w:r>
        <w:rPr>
          <w:rStyle w:val="VerbatimChar"/>
        </w:rPr>
        <w:t xml:space="preserve">v1.0.0</w:t>
      </w:r>
      <w:r>
        <w:t xml:space="preserve"> </w:t>
      </w:r>
      <w:r>
        <w:t xml:space="preserve">at commit</w:t>
      </w:r>
      <w:r>
        <w:t xml:space="preserve"> </w:t>
      </w:r>
      <w:r>
        <w:rPr>
          <w:rStyle w:val="VerbatimChar"/>
        </w:rPr>
        <w:t xml:space="preserve">2cbd2d3</w:t>
      </w:r>
      <w:r>
        <w:t xml:space="preserve">; the DOI identifies the</w:t>
      </w:r>
      <w:r>
        <w:t xml:space="preserve"> </w:t>
      </w:r>
      <w:r>
        <w:t xml:space="preserve">benchmark and software/data archive, not the eventual journal article DOI.</w:t>
      </w:r>
    </w:p>
    <w:bookmarkEnd w:id="49"/>
    <w:bookmarkStart w:id="5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0"/>
    <w:bookmarkStart w:id="5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51"/>
    <w:bookmarkStart w:id="52"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2026-09-08T15:53:03Z</dcterms:created>
  <dcterms:modified xsi:type="dcterms:W3CDTF">2026-09-08T15:53:03Z</dcterms:modified>
</cp:coreProperties>
</file>

<file path=docProps/custom.xml><?xml version="1.0" encoding="utf-8"?>
<Properties xmlns="http://schemas.openxmlformats.org/officeDocument/2006/custom-properties" xmlns:vt="http://schemas.openxmlformats.org/officeDocument/2006/docPropsVTypes"/>
</file>