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9f1511a8109b24064870830db84b786f9ef0e11"/>
    <w:p>
      <w:pPr>
        <w:pStyle w:val="Heading1"/>
      </w:pPr>
      <w:r>
        <w:t xml:space="preserve">Auditing constrained geospatial allocation under noisy annual land-cover labels</w:t>
      </w:r>
    </w:p>
    <w:p>
      <w:pPr>
        <w:pStyle w:val="FirstParagraph"/>
      </w:pPr>
      <w:r>
        <w:rPr>
          <w:b/>
          <w:bCs/>
        </w:rPr>
        <w:t xml:space="preserve">A Geospatial Kernel benchmark in Abu Dhabi</w:t>
      </w:r>
    </w:p>
    <w:p>
      <w:pPr>
        <w:pStyle w:val="BodyText"/>
      </w:pPr>
      <w:r>
        <w:rPr>
          <w:b/>
          <w:bCs/>
        </w:rPr>
        <w:t xml:space="preserve">Author:</w:t>
      </w:r>
      <w:r>
        <w:t xml:space="preserve"> </w:t>
      </w:r>
      <w:r>
        <w:t xml:space="preserve">Ning Zhou</w:t>
      </w:r>
      <w:r>
        <w:br/>
      </w:r>
      <w:r>
        <w:rPr>
          <w:b/>
          <w:bCs/>
        </w:rPr>
        <w:t xml:space="preserve">Affiliation:</w:t>
      </w:r>
      <w:r>
        <w:t xml:space="preserve"> </w:t>
      </w:r>
      <w:r>
        <w:t xml:space="preserve">Beijing Freedo Technology Co., Ltd.</w:t>
      </w:r>
      <w:r>
        <w:br/>
      </w:r>
      <w:r>
        <w:rPr>
          <w:b/>
          <w:bCs/>
        </w:rPr>
        <w:t xml:space="preserve">Corresponding author:</w:t>
      </w:r>
      <w:r>
        <w:t xml:space="preserve"> </w:t>
      </w:r>
      <w:r>
        <w:t xml:space="preserve">Ning Zhou</w:t>
      </w:r>
    </w:p>
    <w:p>
      <w:pPr>
        <w:pStyle w:val="BodyText"/>
      </w:pPr>
      <w:r>
        <w:t xml:space="preserve">This study is not an official Abu Dhabi planning forecast. Correspondence: Ning Zhou, Beijing Freedo Technology Co., Ltd.</w:t>
      </w:r>
    </w:p>
    <w:bookmarkStart w:id="9" w:name="abstract"/>
    <w:p>
      <w:pPr>
        <w:pStyle w:val="Heading2"/>
      </w:pPr>
      <w:r>
        <w:t xml:space="preserve">Abstract</w:t>
      </w:r>
    </w:p>
    <w:p>
      <w:pPr>
        <w:pStyle w:val="FirstParagraph"/>
      </w:pPr>
      <w:r>
        <w:t xml:space="preserve">Urban land-change models are often evaluated against annual labels whose reliability is not spatially uniform. We present an auditable protocol for testing constrained spatial allocation under that uncertainty, using Geospatial Kernel, the algorithmic core of a Geospatial World Model, as the focal execution layer. The Abu Dhabi public-data benchmark uses annual 100-m land-cover products from 2017–2024, three computational seeds, destination-correct multi-class change Figure of Merit (FoM), spatial-block bootstrap contrasts and explicit state–action–constraint traces. The regenerated strict FoM was 0.1950 for Geospatial Kernel, 0.1256 for the GeoSOS-derived FLUS-style ANN–CA console (author-modified build) and 0.1616 for GeoFM-LDN in 2023; after recursive two-step rollout in 2024 the values were 0.2520, 0.1782 and 0.2708, respectively. On the high-confidence label subset, all three models had FoM 0.000 in 2023 and the 2024 maximum was 0.0188, showing that full-grid agreement is strongly conditioned by label noise. The planning track is therefore reported as scenario stress testing, not official forecasting. The released public bundle, source, checkpoints, rasters, vector footprints and audit manifests support locked-environment reproduction. An author-run Linux comparison reproduced the six released Kernel rasters exactly at the categorical-cell level and yielded zero strict-FoM difference; this is a measurement of this controlled pair of environments, not a promise of bitwise identity for every numerical stack. The protocol’s principal contribution is an inspectable proposal–projection–writeback boundary for separating model behaviour from action and constraint semantics.</w:t>
      </w:r>
    </w:p>
    <w:bookmarkEnd w:id="9"/>
    <w:bookmarkStart w:id="10" w:name="highlights"/>
    <w:p>
      <w:pPr>
        <w:pStyle w:val="Heading2"/>
      </w:pPr>
      <w:r>
        <w:t xml:space="preserve">Highlights</w:t>
      </w:r>
    </w:p>
    <w:p>
      <w:pPr>
        <w:pStyle w:val="Compact"/>
        <w:numPr>
          <w:ilvl w:val="0"/>
          <w:numId w:val="1001"/>
        </w:numPr>
      </w:pPr>
      <w:r>
        <w:t xml:space="preserve">Geospatial Kernel separates transition proposals from constrained admission.</w:t>
      </w:r>
    </w:p>
    <w:p>
      <w:pPr>
        <w:pStyle w:val="Compact"/>
        <w:numPr>
          <w:ilvl w:val="0"/>
          <w:numId w:val="1001"/>
        </w:numPr>
      </w:pPr>
      <w:r>
        <w:t xml:space="preserve">Typed state–action–constraint traces make recursive updates auditable.</w:t>
      </w:r>
    </w:p>
    <w:p>
      <w:pPr>
        <w:pStyle w:val="Compact"/>
        <w:numPr>
          <w:ilvl w:val="0"/>
          <w:numId w:val="1001"/>
        </w:numPr>
      </w:pPr>
      <w:r>
        <w:t xml:space="preserve">Spatial-block uncertainty and paired model contrasts are reported explicitly.</w:t>
      </w:r>
    </w:p>
    <w:p>
      <w:pPr>
        <w:pStyle w:val="Compact"/>
        <w:numPr>
          <w:ilvl w:val="0"/>
          <w:numId w:val="1001"/>
        </w:numPr>
      </w:pPr>
      <w:r>
        <w:t xml:space="preserve">High-confidence labels reveal near-zero measured change skill.</w:t>
      </w:r>
    </w:p>
    <w:p>
      <w:pPr>
        <w:pStyle w:val="Compact"/>
        <w:numPr>
          <w:ilvl w:val="0"/>
          <w:numId w:val="1001"/>
        </w:numPr>
      </w:pPr>
      <w:r>
        <w:t xml:space="preserve">Planning outputs are scenario stress tests, not statutory Abu Dhabi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moderate growth, green-priority growth and high outward growth. Abu Dhabi Plan 2030 provides an institutional planning context for discussing urban structure, but the numerical actions in this benchmark are not calibrated to that plan or to an official population forecast (Abu Dhabi Urban Planning Council, 2007). We ask four questions: whether the Kernel execution contract is auditable, whether its allocation skill is competitive, whether it produces feasible and spatially distinct allocations and which conclusions survive label and parameter sensitivity.</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treats high-confidence subset failure as a primary result under noisy annual labels, rather than as a minor diagnostic.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bookmarkEnd w:id="14"/>
    <w:bookmarkStart w:id="15"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confidence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where</w:t>
      </w:r>
      <w:r>
        <w:t xml:space="preserve"> </w:t>
      </w:r>
      <m:oMath>
        <m:r>
          <m:t>r</m:t>
        </m:r>
      </m:oMath>
      <w:r>
        <w:t xml:space="preserve"> </w:t>
      </w:r>
      <w:r>
        <w:t xml:space="preserve">is the Dynamic World mean top probability. The target years 2023 and 2024 are not used during fitting or model selection. Across the three seeds, each fitted model used 71,892–72,202 pixel rows and all six classes.</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geosimulation.cn); the accompanying source repository</w:t>
      </w:r>
      <w:r>
        <w:t xml:space="preserve"> </w:t>
      </w:r>
      <w:r>
        <w:rPr>
          <w:rStyle w:val="VerbatimChar"/>
        </w:rPr>
        <w:t xml:space="preserve">FLUS_console_crossplatform</w:t>
      </w:r>
      <w:r>
        <w:t xml:space="preserve"> </w:t>
      </w:r>
      <w:r>
        <w:t xml:space="preserve">at commit</w:t>
      </w:r>
      <w:r>
        <w:t xml:space="preserve"> </w:t>
      </w:r>
      <w:r>
        <w:rPr>
          <w:rStyle w:val="VerbatimChar"/>
        </w:rPr>
        <w:t xml:space="preserve">deb0a54</w:t>
      </w:r>
      <w:r>
        <w:t xml:space="preserve"> </w:t>
      </w:r>
      <w:r>
        <w:t xml:space="preserve">contains the author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A 25-feature Kernel-matched input was then executed with absolute paths for seeds 31, 47 and 73 and is reported as a separate matched-input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13-feature run includes the current label in the inputs and therefore permits identity leakage; its near-zero change output is interpreted as a degenerate same-year suitability fit, not as evidence of zero land change.</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w:t>
      </w:r>
      <w:r>
        <w:t xml:space="preserve"> </w:t>
      </w:r>
      <w:r>
        <w:rPr>
          <w:rStyle w:val="VerbatimChar"/>
        </w:rPr>
        <w:t xml:space="preserve">planning_scenarios_public_2025_2031.json</w:t>
      </w:r>
      <w:r>
        <w:t xml:space="preserve"> </w:t>
      </w:r>
      <w:r>
        <w:t xml:space="preserve">manifest; the legacy</w:t>
      </w:r>
      <w:r>
        <w:t xml:space="preserve"> </w:t>
      </w:r>
      <w:r>
        <w:rPr>
          <w:rStyle w:val="VerbatimChar"/>
        </w:rPr>
        <w:t xml:space="preserve">compact</w:t>
      </w:r>
      <w:r>
        <w:t xml:space="preserve"> </w:t>
      </w:r>
      <w:r>
        <w:t xml:space="preserve">path identifier is retained only for artifact compatibility. Each action supplies feasible class totals for 2025–2031. The 2031 totals are an explicit extension of the previous annual difference and are not derived from an official population, housing or infrastructure forecast. Future exogenous rasters are held at their 2024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primary Pareto comparison is within each scenario, contrasting the three models under the same action; a global nine-candidate frontier is retained only as lineage. Sensitivity variants remove or add objective dimensions on the same released rasters. The objective set evolved through four review-driven revisions and was not preregistered: v1 mixed feasibility, action and outcome terms; v2 was not released; v3 used structurally problematic outcomes; and v4 still included scenario-supplied vegetation gain and all-built fragmentation. The current release is v6: road access, prior-built distance and union-built component density. Ecological conversion is reported as a diagnostic rather than a Pareto objective because it is structurally zero for the exact-count Kernel and GeoFM-LDN allocations. We treat v6 as a release objective set rather than a prespecified planning preference, and treat its sensitivity results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2024 raster are extracted as changed 100-m cells and dissolved into GeoPackage layers. The public delivery manifest covers 45 ensemble rasters for 2027–2031 and nine vector packages. The audit script reports</w:t>
      </w:r>
      <w:r>
        <w:t xml:space="preserve"> </w:t>
      </w:r>
      <w:r>
        <w:rPr>
          <w:rStyle w:val="VerbatimChar"/>
        </w:rPr>
        <w:t xml:space="preserve">INCOMPLETE_INPUTS</w:t>
      </w:r>
      <w:r>
        <w:t xml:space="preserve"> </w:t>
      </w:r>
      <w:r>
        <w:t xml:space="preserve">or</w:t>
      </w:r>
      <w:r>
        <w:t xml:space="preserve"> </w:t>
      </w:r>
      <w:r>
        <w:rPr>
          <w:rStyle w:val="VerbatimChar"/>
        </w:rPr>
        <w:t xml:space="preserve">FAIL</w:t>
      </w:r>
      <w:r>
        <w:t xml:space="preserve"> </w:t>
      </w:r>
      <w:r>
        <w:t xml:space="preserve">when source rasters, reports or vectors are absent; with the released public bundle, the input audit passed all alignment gates (with a Dynamic World label-noise warning) and the output audit passed 276 historical and planning predictions with zero failures. The vector layers preserve raster-cell geometry and should not be interpreted as cadastral parcels.</w:t>
      </w:r>
    </w:p>
    <w:bookmarkEnd w:id="20"/>
    <w:bookmarkEnd w:id="21"/>
    <w:bookmarkStart w:id="26" w:name="results"/>
    <w:p>
      <w:pPr>
        <w:pStyle w:val="Heading2"/>
      </w:pPr>
      <w:r>
        <w:t xml:space="preserve">Results</w:t>
      </w:r>
    </w:p>
    <w:bookmarkStart w:id="22"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matched-input diagnostic in feature space, but it still learns same-year suitability rather than next-state transitions and does not use the Kernel projection implementation.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matched-input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bookmarkEnd w:id="22"/>
    <w:bookmarkStart w:id="23" w:name="historical-and-planning-results"/>
    <w:p>
      <w:pPr>
        <w:pStyle w:val="Heading3"/>
      </w:pPr>
      <w:r>
        <w:t xml:space="preserve">Historical and planning results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0.1950</w:t>
      </w:r>
      <w:r>
        <w:t xml:space="preserve"> </w:t>
      </w:r>
      <w:r>
        <w:t xml:space="preserve">and 0.1616 for the FLUS-style console, Geospatial Kernel and GeoFM-LDN in 2023,</w:t>
      </w:r>
      <w:r>
        <w:t xml:space="preserve"> </w:t>
      </w:r>
      <w:r>
        <w:t xml:space="preserve">and 0.1782, 0.2520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 Historical allocation scores.</w:t>
      </w:r>
      <w:r>
        <w:t xml:space="preserve"> </w:t>
      </w:r>
      <w:r>
        <w:t xml:space="preserve">Except for the explicitly labelled</w:t>
      </w:r>
      <w:r>
        <w:t xml:space="preserve"> </w:t>
      </w:r>
      <w:r>
        <w:t xml:space="preserve">matched-input column, values are means across the three frozen computational</w:t>
      </w:r>
      <w:r>
        <w:t xml:space="preserve"> </w:t>
      </w:r>
      <w:r>
        <w:t xml:space="preserve">seeds; the strict multi-class change FoM is the primary</w:t>
      </w:r>
      <w:r>
        <w:t xml:space="preserve"> </w:t>
      </w:r>
      <w:r>
        <w:t xml:space="preserve">metric and the remaining columns are diagnostics. The 25-feature FLUS</w:t>
      </w:r>
      <w:r>
        <w:t xml:space="preserve"> </w:t>
      </w:r>
      <w:r>
        <w:t xml:space="preserve">matched-input run is shown separately from the original seven-driver</w:t>
      </w:r>
      <w:r>
        <w:t xml:space="preserve"> </w:t>
      </w:r>
      <w:r>
        <w:t xml:space="preserve">unmatched control because its same-year suitability target and CA semantics do</w:t>
      </w:r>
      <w:r>
        <w:t xml:space="preserve"> </w:t>
      </w:r>
      <w:r>
        <w:t xml:space="preserve">not match the Kernel’s next-state transition task. Three seeds were run, but</w:t>
      </w:r>
      <w:r>
        <w:t xml:space="preserve"> </w:t>
      </w:r>
      <w:r>
        <w:t xml:space="preserve">seeds 47 and 73 collapsed to zero-change outputs through current-class identity</w:t>
      </w:r>
      <w:r>
        <w:t xml:space="preserve"> </w:t>
      </w:r>
      <w:r>
        <w:t xml:space="preserve">leakage; they are retained as diagnostics rather than averaged. Seed 31 is the</w:t>
      </w:r>
      <w:r>
        <w:t xml:space="preserve"> </w:t>
      </w:r>
      <w:r>
        <w:t xml:space="preserve">only valid matched-input point comparison. Persistence and random</w:t>
      </w:r>
      <w:r>
        <w:t xml:space="preserve"> </w:t>
      </w:r>
      <w:r>
        <w:t xml:space="preserve">minimum-change are explicit zero-model controls rather than learned models.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pPr>
            <w:r>
              <w:t xml:space="preserve">Target year</w:t>
            </w:r>
          </w:p>
        </w:tc>
        <w:tc>
          <w:tcPr/>
          <w:p>
            <w:pPr>
              <w:pStyle w:val="Compact"/>
              <w:jc w:val="right"/>
            </w:pPr>
            <w:r>
              <w:t xml:space="preserve">FLUS-style (7)</w:t>
            </w:r>
          </w:p>
        </w:tc>
        <w:tc>
          <w:tcPr/>
          <w:p>
            <w:pPr>
              <w:pStyle w:val="Compact"/>
              <w:jc w:val="right"/>
            </w:pPr>
            <w:r>
              <w:t xml:space="preserve">FLUS matched (25)</w:t>
            </w:r>
          </w:p>
        </w:tc>
        <w:tc>
          <w:tcPr/>
          <w:p>
            <w:pPr>
              <w:pStyle w:val="Compact"/>
              <w:jc w:val="right"/>
            </w:pPr>
            <w:r>
              <w:t xml:space="preserve">Kernel</w:t>
            </w:r>
          </w:p>
        </w:tc>
        <w:tc>
          <w:tcPr/>
          <w:p>
            <w:pPr>
              <w:pStyle w:val="Compact"/>
              <w:jc w:val="right"/>
            </w:pPr>
            <w:r>
              <w:t xml:space="preserve">GeoFM-LDN</w:t>
            </w:r>
          </w:p>
        </w:tc>
        <w:tc>
          <w:tcPr/>
          <w:p>
            <w:pPr>
              <w:pStyle w:val="Compact"/>
              <w:jc w:val="right"/>
            </w:pPr>
            <w:r>
              <w:t xml:space="preserve">Persistence</w:t>
            </w:r>
          </w:p>
        </w:tc>
        <w:tc>
          <w:tcPr/>
          <w:p>
            <w:pPr>
              <w:pStyle w:val="Compact"/>
              <w:jc w:val="right"/>
            </w:pPr>
            <w:r>
              <w:t xml:space="preserve">Random minimum-change</w:t>
            </w:r>
          </w:p>
        </w:tc>
      </w:tr>
      <w:tr>
        <w:tc>
          <w:tcPr/>
          <w:p>
            <w:pPr>
              <w:pStyle w:val="Compact"/>
              <w:jc w:val="right"/>
            </w:pPr>
            <w:r>
              <w:t xml:space="preserve">2023 (1-step)</w:t>
            </w:r>
          </w:p>
        </w:tc>
        <w:tc>
          <w:tcPr/>
          <w:p>
            <w:pPr>
              <w:pStyle w:val="Compact"/>
              <w:jc w:val="right"/>
            </w:pPr>
            <w:r>
              <w:t xml:space="preserve">0.1256</w:t>
            </w:r>
          </w:p>
        </w:tc>
        <w:tc>
          <w:tcPr/>
          <w:p>
            <w:pPr>
              <w:pStyle w:val="Compact"/>
              <w:jc w:val="right"/>
            </w:pPr>
            <w:r>
              <w:t xml:space="preserve">0.1320</w:t>
            </w:r>
          </w:p>
        </w:tc>
        <w:tc>
          <w:tcPr/>
          <w:p>
            <w:pPr>
              <w:pStyle w:val="Compact"/>
              <w:jc w:val="right"/>
            </w:pPr>
            <w:r>
              <w:rPr>
                <w:b/>
                <w:bCs/>
              </w:rPr>
              <w:t xml:space="preserve">0.1950</w:t>
            </w:r>
          </w:p>
        </w:tc>
        <w:tc>
          <w:tcPr/>
          <w:p>
            <w:pPr>
              <w:pStyle w:val="Compact"/>
              <w:jc w:val="right"/>
            </w:pPr>
            <w:r>
              <w:t xml:space="preserve">0.1616</w:t>
            </w:r>
          </w:p>
        </w:tc>
        <w:tc>
          <w:tcPr/>
          <w:p>
            <w:pPr>
              <w:pStyle w:val="Compact"/>
              <w:jc w:val="right"/>
            </w:pPr>
            <w:r>
              <w:t xml:space="preserve">0.0000</w:t>
            </w:r>
          </w:p>
        </w:tc>
        <w:tc>
          <w:tcPr/>
          <w:p>
            <w:pPr>
              <w:pStyle w:val="Compact"/>
              <w:jc w:val="right"/>
            </w:pPr>
            <w:r>
              <w:t xml:space="preserve">0.0253</w:t>
            </w:r>
          </w:p>
        </w:tc>
      </w:tr>
      <w:tr>
        <w:tc>
          <w:tcPr/>
          <w:p>
            <w:pPr>
              <w:pStyle w:val="Compact"/>
              <w:jc w:val="right"/>
            </w:pPr>
            <w:r>
              <w:t xml:space="preserve">2024 (2-step open-loop)</w:t>
            </w:r>
          </w:p>
        </w:tc>
        <w:tc>
          <w:tcPr/>
          <w:p>
            <w:pPr>
              <w:pStyle w:val="Compact"/>
              <w:jc w:val="right"/>
            </w:pPr>
            <w:r>
              <w:t xml:space="preserve">0.1782</w:t>
            </w:r>
          </w:p>
        </w:tc>
        <w:tc>
          <w:tcPr/>
          <w:p>
            <w:pPr>
              <w:pStyle w:val="Compact"/>
              <w:jc w:val="right"/>
            </w:pPr>
            <w:r>
              <w:t xml:space="preserve">0.1960</w:t>
            </w:r>
          </w:p>
        </w:tc>
        <w:tc>
          <w:tcPr/>
          <w:p>
            <w:pPr>
              <w:pStyle w:val="Compact"/>
              <w:jc w:val="right"/>
            </w:pPr>
            <w:r>
              <w:t xml:space="preserve">0.2520</w:t>
            </w:r>
          </w:p>
        </w:tc>
        <w:tc>
          <w:tcPr/>
          <w:p>
            <w:pPr>
              <w:pStyle w:val="Compact"/>
              <w:jc w:val="right"/>
            </w:pPr>
            <w:r>
              <w:rPr>
                <w:b/>
                <w:bCs/>
              </w:rPr>
              <w:t xml:space="preserve">0.2708</w:t>
            </w:r>
          </w:p>
        </w:tc>
        <w:tc>
          <w:tcPr/>
          <w:p>
            <w:pPr>
              <w:pStyle w:val="Compact"/>
              <w:jc w:val="right"/>
            </w:pPr>
            <w:r>
              <w:t xml:space="preserve">0.0000</w:t>
            </w:r>
          </w:p>
        </w:tc>
        <w:tc>
          <w:tcPr/>
          <w:p>
            <w:pPr>
              <w:pStyle w:val="Compact"/>
              <w:jc w:val="right"/>
            </w:pPr>
            <w:r>
              <w:t xml:space="preserve">0.0605</w:t>
            </w:r>
          </w:p>
        </w:tc>
      </w:tr>
    </w:tbl>
    <w:p>
      <w:pPr>
        <w:pStyle w:val="BodyText"/>
      </w:pPr>
      <w:r>
        <w:t xml:space="preserve">Spatial-block bootstrap model contrasts support these differences. For 2023,</w:t>
      </w:r>
      <w:r>
        <w:t xml:space="preserve"> </w:t>
      </w:r>
      <w:r>
        <w:t xml:space="preserve">Kernel minus the FLUS-style control was 0.0692 [0.0546, 0.0859] and GeoFM-LDN</w:t>
      </w:r>
      <w:r>
        <w:t xml:space="preserve"> </w:t>
      </w:r>
      <w:r>
        <w:t xml:space="preserve">minus Kernel was −0.0333 [−0.0478, −0.0201]. For 2024, GeoFM-LDN minus Kernel</w:t>
      </w:r>
      <w:r>
        <w:t xml:space="preserve"> </w:t>
      </w:r>
      <w:r>
        <w:t xml:space="preserve">was 0.0184 [0.0046, 0.0321].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and the seed-31 matched-input diagnostic; main-model bars use three-seed population standard deviations, whereas the</w:t>
      </w:r>
      <w:r>
        <w:t xml:space="preserve"> </w:t>
      </w:r>
      <w:r>
        <w:t xml:space="preserve">paired spatial-block intervals above are the uncertainty summaries used for</w:t>
      </w:r>
      <w:r>
        <w:t xml:space="preserve"> </w:t>
      </w:r>
      <w:r>
        <w:t xml:space="preserve">model contrasts.</w:t>
      </w:r>
    </w:p>
    <w:p>
      <w:pPr>
        <w:pStyle w:val="BodyText"/>
      </w:pPr>
      <w:r>
        <w:t xml:space="preserve">The reviewer-requested FLUS input-dimension analysis was also completed. The</w:t>
      </w:r>
      <w:r>
        <w:t xml:space="preserve"> </w:t>
      </w:r>
      <w:r>
        <w:t xml:space="preserve">25-feature matched-input run gives strict FoM 0.1320 in 2023 and 0.1960 in</w:t>
      </w:r>
      <w:r>
        <w:t xml:space="preserve"> </w:t>
      </w:r>
      <w:r>
        <w:t xml:space="preserve">2024 for the only valid seed (31); the corresponding raw Kernel-minus-matched</w:t>
      </w:r>
      <w:r>
        <w:t xml:space="preserve"> </w:t>
      </w:r>
      <w:r>
        <w:t xml:space="preserve">point contrasts are 0.0599 and 0.0558, while the within-seed spatial-block</w:t>
      </w:r>
      <w:r>
        <w:t xml:space="preserve"> </w:t>
      </w:r>
      <w:r>
        <w:t xml:space="preserve">bootstrap medians are 0.0595 and 0.0558. No three-seed matched-input interval is</w:t>
      </w:r>
      <w:r>
        <w:t xml:space="preserve"> </w:t>
      </w:r>
      <w:r>
        <w:t xml:space="preserve">reported. Seeds 47 and 73 give 0.0000 FoM and zero</w:t>
      </w:r>
      <w:r>
        <w:t xml:space="preserve"> </w:t>
      </w:r>
      <w:r>
        <w:t xml:space="preserve">predicted changes in both years, so the former three-seed mean and paired</w:t>
      </w:r>
      <w:r>
        <w:t xml:space="preserve"> </w:t>
      </w:r>
      <w:r>
        <w:t xml:space="preserve">interval are withdrawn. This occurs</w:t>
      </w:r>
      <w:r>
        <w:t xml:space="preserve"> </w:t>
      </w:r>
      <w:r>
        <w:t xml:space="preserve">because the current-class indicators expose the same-year label used as the ANN</w:t>
      </w:r>
      <w:r>
        <w:t xml:space="preserve"> </w:t>
      </w:r>
      <w:r>
        <w:t xml:space="preserve">target: the network learns an almost exact identity mapping (training RMSE</w:t>
      </w:r>
      <w:r>
        <w:t xml:space="preserve"> </w:t>
      </w:r>
      <m:oMath>
        <m:r>
          <m:t>1.7</m:t>
        </m:r>
        <m:r>
          <m:rPr>
            <m:sty m:val="p"/>
          </m:rPr>
          <m:t>×</m:t>
        </m:r>
        <m:sSup>
          <m:e>
            <m:r>
              <m:t>10</m:t>
            </m:r>
          </m:e>
          <m:sup>
            <m:r>
              <m:rPr>
                <m:sty m:val="p"/>
              </m:rPr>
              <m:t>−</m:t>
            </m:r>
            <m:r>
              <m:t>5</m:t>
            </m:r>
          </m:sup>
        </m:sSup>
      </m:oMath>
      <w:r>
        <w:t xml:space="preserve"> </w:t>
      </w:r>
      <w:r>
        <w:t xml:space="preserve">for seeds 47 and 73), so the CA receives probabilities</w:t>
      </w:r>
      <w:r>
        <w:t xml:space="preserve"> </w:t>
      </w:r>
      <w:r>
        <w:t xml:space="preserve">concentrated on the current class and makes no transitions. The 19-feature diagnostic had strict</w:t>
      </w:r>
      <w:r>
        <w:t xml:space="preserve"> </w:t>
      </w:r>
      <w:r>
        <w:t xml:space="preserve">FoM 0.1371 and 0.1149 in seed 31. These results show why matching feature</w:t>
      </w:r>
      <w:r>
        <w:t xml:space="preserve"> </w:t>
      </w:r>
      <w:r>
        <w:t xml:space="preserve">dimensions cannot make 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 the Kernel learns next-state transitions and then</w:t>
      </w:r>
      <w:r>
        <w:t xml:space="preserve"> </w:t>
      </w:r>
      <w:r>
        <w:t xml:space="preserve">projects them against action deficits and hard constraints.</w:t>
      </w:r>
    </w:p>
    <w:p>
      <w:pPr>
        <w:pStyle w:val="BodyText"/>
      </w:pPr>
      <w:r>
        <w:t xml:space="preserve">The reliability sensitivity is substantially less favourable. Requiring both</w:t>
      </w:r>
      <w:r>
        <w:t xml:space="preserve"> </w:t>
      </w:r>
      <w:r>
        <w:t xml:space="preserve">the origin and target Dynamic World mean top probability to exceed 0.5 leaves</w:t>
      </w:r>
      <w:r>
        <w:t xml:space="preserve"> </w:t>
      </w:r>
      <w:r>
        <w:t xml:space="preserve">strict FoM at 0.000 for all three models in 2023; in 2024 the means are 0.004</w:t>
      </w:r>
      <w:r>
        <w:t xml:space="preserve"> </w:t>
      </w:r>
      <w:r>
        <w:t xml:space="preserve">for the FLUS-style console, 0.005 for Geospatial Kernel and 0.019 for GeoFM-LDN. This is</w:t>
      </w:r>
      <w:r>
        <w:t xml:space="preserve"> </w:t>
      </w:r>
      <w:r>
        <w:t xml:space="preserve">a label-quality diagnostic, not an independent validation set. Dynamic World</w:t>
      </w:r>
      <w:r>
        <w:t xml:space="preserve"> </w:t>
      </w:r>
      <w:r>
        <w:t xml:space="preserve">also reports built pixels increasing from 9,359 in 2022 to 15,598 in 2024</w:t>
      </w:r>
      <w:r>
        <w:t xml:space="preserve"> </w:t>
      </w:r>
      <w:r>
        <w:t xml:space="preserve">(67%), while the median one-year reversion fraction is 0.3611 and the mean</w:t>
      </w:r>
      <w:r>
        <w:t xml:space="preserve"> </w:t>
      </w:r>
      <w:r>
        <w:t xml:space="preserve">fraction of cells below confidence 0.5 is 0.5497. Test-year change counts are</w:t>
      </w:r>
      <w:r>
        <w:t xml:space="preserve"> </w:t>
      </w:r>
      <w:r>
        <w:t xml:space="preserve">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p>
      <w:pPr>
        <w:pStyle w:val="BodyText"/>
      </w:pPr>
      <w:r>
        <w:t xml:space="preserve">The reference reproduction environment is macOS arm64 with Python 3.11 and</w:t>
      </w:r>
      <w:r>
        <w:t xml:space="preserve"> </w:t>
      </w:r>
      <w:r>
        <w:t xml:space="preserve">scikit-learn 1.9.0. We also reran Geospatial Kernel in a Linux container using the same source,</w:t>
      </w:r>
      <w:r>
        <w:t xml:space="preserve"> </w:t>
      </w:r>
      <w:r>
        <w:t xml:space="preserve">inputs and seeds 31, 47 and 73. Both archived environments are arm64, so this is</w:t>
      </w:r>
      <w:r>
        <w:t xml:space="preserve"> </w:t>
      </w:r>
      <w:r>
        <w:t xml:space="preserve">a same-architecture comparison: across six rasters (2023 and 2024 for each</w:t>
      </w:r>
      <w:r>
        <w:t xml:space="preserve"> </w:t>
      </w:r>
      <w:r>
        <w:t xml:space="preserve">seed), all categorical cells matched and strict-FoM deltas were zero. Earlier</w:t>
      </w:r>
      <w:r>
        <w:t xml:space="preserve"> </w:t>
      </w:r>
      <w:r>
        <w:t xml:space="preserve">x86_64 reruns showed approximately 1% differing cells and FoM changes near</w:t>
      </w:r>
      <w:r>
        <w:t xml:space="preserve"> </w:t>
      </w:r>
      <w:r>
        <w:t xml:space="preserve">0.001; those cross-architecture differences have not yet been independently</w:t>
      </w:r>
      <w:r>
        <w:t xml:space="preserve"> </w:t>
      </w:r>
      <w:r>
        <w:t xml:space="preserve">characterised in this release. The archived comparison report records the</w:t>
      </w:r>
      <w:r>
        <w:t xml:space="preserve"> </w:t>
      </w:r>
      <w:r>
        <w:t xml:space="preserve">exact paths and environment fields. This documents the measured stability of</w:t>
      </w:r>
      <w:r>
        <w:t xml:space="preserve"> </w:t>
      </w:r>
      <w:r>
        <w:t xml:space="preserve">the released same-architecture pair, not universal bitwise identity.</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2.97–4.26 and GeoFM-LDN 3.22–4.34.</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3.</w:t>
      </w:r>
      <w:r>
        <w:t xml:space="preserve"> </w:t>
      </w:r>
      <w:r>
        <w:t xml:space="preserve">The 2031 majority-vote ensemble L1 demand errors were 60, 68 and 86 pixels for</w:t>
      </w:r>
      <w:r>
        <w:t xml:space="preserve"> </w:t>
      </w:r>
      <w:r>
        <w:t xml:space="preserve">the Kernel’s moderate, green-priority and high-outward scenarios, respectively;</w:t>
      </w:r>
      <w:r>
        <w:t xml:space="preserve"> </w:t>
      </w:r>
      <w:r>
        <w:t xml:space="preserve">the corresponding GeoFM-LDN errors were 1,596, 1,536 and 1,174 pixels and the</w:t>
      </w:r>
      <w:r>
        <w:t xml:space="preserve"> </w:t>
      </w:r>
      <w:r>
        <w:t xml:space="preserve">FLUS-style errors were 2,504, 2,888 and 2,568 pixels. Seed-level projections</w:t>
      </w:r>
      <w:r>
        <w:t xml:space="preserve"> </w:t>
      </w:r>
      <w:r>
        <w:t xml:space="preserve">meet their feasible class totals, but majority voting can produce a different</w:t>
      </w:r>
      <w:r>
        <w:t xml:space="preserve"> </w:t>
      </w:r>
      <w:r>
        <w:t xml:space="preserve">raster and therefore a non-zero ensemble error. All 276 historical and planning</w:t>
      </w:r>
      <w:r>
        <w:t xml:space="preserve"> </w:t>
      </w:r>
      <w:r>
        <w:t xml:space="preserve">prediction records passed the raster audit. The resulting 2031 ensemble rasters</w:t>
      </w:r>
      <w:r>
        <w:t xml:space="preserve"> </w:t>
      </w:r>
      <w:r>
        <w:t xml:space="preserve">and their dissolved cell-change footprints are shown in Fig. 5; they are</w:t>
      </w:r>
      <w:r>
        <w:t xml:space="preserve"> </w:t>
      </w:r>
      <w:r>
        <w:t xml:space="preserve">scenario-conditioned land-cover maps, not parcel boundaries or statutory zoning</w:t>
      </w:r>
      <w:r>
        <w:t xml:space="preserve"> </w:t>
      </w:r>
      <w:r>
        <w:t xml:space="preserve">maps.</w:t>
      </w:r>
    </w:p>
    <w:p>
      <w:pPr>
        <w:pStyle w:val="BodyText"/>
      </w:pPr>
      <w:r>
        <w:rPr>
          <w:b/>
          <w:bCs/>
        </w:rPr>
        <w:t xml:space="preserve">Table 2 | 2031 within-scenario planning objectives.</w:t>
      </w:r>
      <w:r>
        <w:t xml:space="preserve"> </w:t>
      </w:r>
      <w:r>
        <w:t xml:space="preserve">Values are means across</w:t>
      </w:r>
      <w:r>
        <w:t xml:space="preserve"> </w:t>
      </w:r>
      <w:r>
        <w:t xml:space="preserve">three seeds. Distances are metres, union-built component density is the number</w:t>
      </w:r>
      <w:r>
        <w:t xml:space="preserve"> </w:t>
      </w:r>
      <w:r>
        <w:t xml:space="preserve">of connected components in the combined 2024-built and newly built footprint per 1,000</w:t>
      </w:r>
      <w:r>
        <w:t xml:space="preserve"> </w:t>
      </w:r>
      <w:r>
        <w:t xml:space="preserve">valid cells, and ecological conversion is a descriptive fraction of new-built</w:t>
      </w:r>
      <w:r>
        <w:t xml:space="preserve"> </w:t>
      </w:r>
      <w:r>
        <w:t xml:space="preserve">cells whose origin class was woody, low vegetation or wetland. A star denotes</w:t>
      </w:r>
      <w:r>
        <w:t xml:space="preserve"> </w:t>
      </w:r>
      <w:r>
        <w:t xml:space="preserve">membership in the primary within-scenario Pareto frontier.</w:t>
      </w:r>
    </w:p>
    <w:tbl>
      <w:tblPr>
        <w:tblStyle w:val="Table"/>
        <w:tblW w:type="pct" w:w="5000"/>
        <w:tblLayout w:type="fixed"/>
        <w:tblLook w:firstRow="1" w:lastRow="0" w:firstColumn="0" w:lastColumn="0" w:noHBand="0" w:noVBand="0" w:val="0020"/>
      </w:tblPr>
      <w:tblGrid>
        <w:gridCol w:w="880"/>
        <w:gridCol w:w="880"/>
        <w:gridCol w:w="1173"/>
        <w:gridCol w:w="1173"/>
        <w:gridCol w:w="1173"/>
        <w:gridCol w:w="1173"/>
        <w:gridCol w:w="1466"/>
      </w:tblGrid>
      <w:tr>
        <w:trPr>
          <w:tblHeader w:val="on"/>
        </w:trPr>
        <w:tc>
          <w:tcPr/>
          <w:p>
            <w:pPr>
              <w:pStyle w:val="Compact"/>
            </w:pPr>
            <w:r>
              <w:t xml:space="preserve">Model</w:t>
            </w:r>
          </w:p>
        </w:tc>
        <w:tc>
          <w:tcPr/>
          <w:p>
            <w:pPr>
              <w:pStyle w:val="Compact"/>
            </w:pPr>
            <w:r>
              <w:t xml:space="preserve">Scenario</w:t>
            </w:r>
          </w:p>
        </w:tc>
        <w:tc>
          <w:tcPr/>
          <w:p>
            <w:pPr>
              <w:pStyle w:val="Compact"/>
              <w:jc w:val="right"/>
            </w:pPr>
            <w:r>
              <w:t xml:space="preserve">Major-road distance</w:t>
            </w:r>
          </w:p>
        </w:tc>
        <w:tc>
          <w:tcPr/>
          <w:p>
            <w:pPr>
              <w:pStyle w:val="Compact"/>
              <w:jc w:val="right"/>
            </w:pPr>
            <w:r>
              <w:t xml:space="preserve">Prior-built distance</w:t>
            </w:r>
          </w:p>
        </w:tc>
        <w:tc>
          <w:tcPr/>
          <w:p>
            <w:pPr>
              <w:pStyle w:val="Compact"/>
              <w:jc w:val="right"/>
            </w:pPr>
            <w:r>
              <w:t xml:space="preserve">Union-built components/1,000</w:t>
            </w:r>
          </w:p>
        </w:tc>
        <w:tc>
          <w:tcPr/>
          <w:p>
            <w:pPr>
              <w:pStyle w:val="Compact"/>
              <w:jc w:val="right"/>
            </w:pPr>
            <w:r>
              <w:t xml:space="preserve">Ecological conversion (diagnostic)</w:t>
            </w:r>
          </w:p>
        </w:tc>
        <w:tc>
          <w:tcPr/>
          <w:p>
            <w:pPr>
              <w:pStyle w:val="Compact"/>
              <w:jc w:val="center"/>
            </w:pPr>
            <w:r>
              <w:t xml:space="preserve">Frontier</w:t>
            </w:r>
          </w:p>
        </w:tc>
      </w:tr>
      <w:tr>
        <w:tc>
          <w:tcPr/>
          <w:p>
            <w:pPr>
              <w:pStyle w:val="Compact"/>
            </w:pPr>
            <w:r>
              <w:t xml:space="preserve">FLUS-style ANN–CA</w:t>
            </w:r>
          </w:p>
        </w:tc>
        <w:tc>
          <w:tcPr/>
          <w:p>
            <w:pPr>
              <w:pStyle w:val="Compact"/>
            </w:pPr>
            <w:r>
              <w:t xml:space="preserve">Moderate</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pPr>
            <w:r>
              <w:t xml:space="preserve">Geospatial Kernel</w:t>
            </w:r>
          </w:p>
        </w:tc>
        <w:tc>
          <w:tcPr/>
          <w:p>
            <w:pPr>
              <w:pStyle w:val="Compact"/>
            </w:pPr>
            <w:r>
              <w:t xml:space="preserve">Moderate</w:t>
            </w:r>
          </w:p>
        </w:tc>
        <w:tc>
          <w:tcPr/>
          <w:p>
            <w:pPr>
              <w:pStyle w:val="Compact"/>
              <w:jc w:val="right"/>
            </w:pPr>
            <w:r>
              <w:t xml:space="preserve">336.7</w:t>
            </w:r>
          </w:p>
        </w:tc>
        <w:tc>
          <w:tcPr/>
          <w:p>
            <w:pPr>
              <w:pStyle w:val="Compact"/>
              <w:jc w:val="right"/>
            </w:pPr>
            <w:r>
              <w:t xml:space="preserve">117.4</w:t>
            </w:r>
          </w:p>
        </w:tc>
        <w:tc>
          <w:tcPr/>
          <w:p>
            <w:pPr>
              <w:pStyle w:val="Compact"/>
              <w:jc w:val="right"/>
            </w:pPr>
            <w:r>
              <w:t xml:space="preserve">3.922</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Moderate</w:t>
            </w:r>
          </w:p>
        </w:tc>
        <w:tc>
          <w:tcPr/>
          <w:p>
            <w:pPr>
              <w:pStyle w:val="Compact"/>
              <w:jc w:val="right"/>
            </w:pPr>
            <w:r>
              <w:t xml:space="preserve">475.5</w:t>
            </w:r>
          </w:p>
        </w:tc>
        <w:tc>
          <w:tcPr/>
          <w:p>
            <w:pPr>
              <w:pStyle w:val="Compact"/>
              <w:jc w:val="right"/>
            </w:pPr>
            <w:r>
              <w:t xml:space="preserve">239.8</w:t>
            </w:r>
          </w:p>
        </w:tc>
        <w:tc>
          <w:tcPr/>
          <w:p>
            <w:pPr>
              <w:pStyle w:val="Compact"/>
              <w:jc w:val="right"/>
            </w:pPr>
            <w:r>
              <w:t xml:space="preserve">4.081</w:t>
            </w:r>
          </w:p>
        </w:tc>
        <w:tc>
          <w:tcPr/>
          <w:p>
            <w:pPr>
              <w:pStyle w:val="Compact"/>
              <w:jc w:val="right"/>
            </w:pPr>
            <w:r>
              <w:t xml:space="preserve">0.0000</w:t>
            </w:r>
          </w:p>
        </w:tc>
        <w:tc>
          <w:tcPr/>
          <w:p>
            <w:pPr>
              <w:pStyle w:val="Compact"/>
            </w:pPr>
          </w:p>
        </w:tc>
      </w:tr>
      <w:tr>
        <w:tc>
          <w:tcPr/>
          <w:p>
            <w:pPr>
              <w:pStyle w:val="Compact"/>
            </w:pPr>
            <w:r>
              <w:t xml:space="preserve">FLUS-style ANN–CA</w:t>
            </w:r>
          </w:p>
        </w:tc>
        <w:tc>
          <w:tcPr/>
          <w:p>
            <w:pPr>
              <w:pStyle w:val="Compact"/>
            </w:pPr>
            <w:r>
              <w:t xml:space="preserve">Green-priority</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pPr>
            <w:r>
              <w:t xml:space="preserve">Geospatial Kernel</w:t>
            </w:r>
          </w:p>
        </w:tc>
        <w:tc>
          <w:tcPr/>
          <w:p>
            <w:pPr>
              <w:pStyle w:val="Compact"/>
            </w:pPr>
            <w:r>
              <w:t xml:space="preserve">Green-priority</w:t>
            </w:r>
          </w:p>
        </w:tc>
        <w:tc>
          <w:tcPr/>
          <w:p>
            <w:pPr>
              <w:pStyle w:val="Compact"/>
              <w:jc w:val="right"/>
            </w:pPr>
            <w:r>
              <w:t xml:space="preserve">319.8</w:t>
            </w:r>
          </w:p>
        </w:tc>
        <w:tc>
          <w:tcPr/>
          <w:p>
            <w:pPr>
              <w:pStyle w:val="Compact"/>
              <w:jc w:val="right"/>
            </w:pPr>
            <w:r>
              <w:t xml:space="preserve">111.3</w:t>
            </w:r>
          </w:p>
        </w:tc>
        <w:tc>
          <w:tcPr/>
          <w:p>
            <w:pPr>
              <w:pStyle w:val="Compact"/>
              <w:jc w:val="right"/>
            </w:pPr>
            <w:r>
              <w:t xml:space="preserve">4.256</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Green-priority</w:t>
            </w:r>
          </w:p>
        </w:tc>
        <w:tc>
          <w:tcPr/>
          <w:p>
            <w:pPr>
              <w:pStyle w:val="Compact"/>
              <w:jc w:val="right"/>
            </w:pPr>
            <w:r>
              <w:t xml:space="preserve">452.2</w:t>
            </w:r>
          </w:p>
        </w:tc>
        <w:tc>
          <w:tcPr/>
          <w:p>
            <w:pPr>
              <w:pStyle w:val="Compact"/>
              <w:jc w:val="right"/>
            </w:pPr>
            <w:r>
              <w:t xml:space="preserve">222.8</w:t>
            </w:r>
          </w:p>
        </w:tc>
        <w:tc>
          <w:tcPr/>
          <w:p>
            <w:pPr>
              <w:pStyle w:val="Compact"/>
              <w:jc w:val="right"/>
            </w:pPr>
            <w:r>
              <w:t xml:space="preserve">4.340</w:t>
            </w:r>
          </w:p>
        </w:tc>
        <w:tc>
          <w:tcPr/>
          <w:p>
            <w:pPr>
              <w:pStyle w:val="Compact"/>
              <w:jc w:val="right"/>
            </w:pPr>
            <w:r>
              <w:t xml:space="preserve">0.0000</w:t>
            </w:r>
          </w:p>
        </w:tc>
        <w:tc>
          <w:tcPr/>
          <w:p>
            <w:pPr>
              <w:pStyle w:val="Compact"/>
            </w:pPr>
          </w:p>
        </w:tc>
      </w:tr>
      <w:tr>
        <w:tc>
          <w:tcPr/>
          <w:p>
            <w:pPr>
              <w:pStyle w:val="Compact"/>
            </w:pPr>
            <w:r>
              <w:t xml:space="preserve">FLUS-style ANN–CA</w:t>
            </w:r>
          </w:p>
        </w:tc>
        <w:tc>
          <w:tcPr/>
          <w:p>
            <w:pPr>
              <w:pStyle w:val="Compact"/>
            </w:pPr>
            <w:r>
              <w:t xml:space="preserve">High outward</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pPr>
            <w:r>
              <w:t xml:space="preserve">Geospatial Kernel</w:t>
            </w:r>
          </w:p>
        </w:tc>
        <w:tc>
          <w:tcPr/>
          <w:p>
            <w:pPr>
              <w:pStyle w:val="Compact"/>
            </w:pPr>
            <w:r>
              <w:t xml:space="preserve">High outward</w:t>
            </w:r>
          </w:p>
        </w:tc>
        <w:tc>
          <w:tcPr/>
          <w:p>
            <w:pPr>
              <w:pStyle w:val="Compact"/>
              <w:jc w:val="right"/>
            </w:pPr>
            <w:r>
              <w:t xml:space="preserve">362.5</w:t>
            </w:r>
          </w:p>
        </w:tc>
        <w:tc>
          <w:tcPr/>
          <w:p>
            <w:pPr>
              <w:pStyle w:val="Compact"/>
              <w:jc w:val="right"/>
            </w:pPr>
            <w:r>
              <w:t xml:space="preserve">141.7</w:t>
            </w:r>
          </w:p>
        </w:tc>
        <w:tc>
          <w:tcPr/>
          <w:p>
            <w:pPr>
              <w:pStyle w:val="Compact"/>
              <w:jc w:val="right"/>
            </w:pPr>
            <w:r>
              <w:t xml:space="preserve">2.969</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High outward</w:t>
            </w:r>
          </w:p>
        </w:tc>
        <w:tc>
          <w:tcPr/>
          <w:p>
            <w:pPr>
              <w:pStyle w:val="Compact"/>
              <w:jc w:val="right"/>
            </w:pPr>
            <w:r>
              <w:t xml:space="preserve">507.7</w:t>
            </w:r>
          </w:p>
        </w:tc>
        <w:tc>
          <w:tcPr/>
          <w:p>
            <w:pPr>
              <w:pStyle w:val="Compact"/>
              <w:jc w:val="right"/>
            </w:pPr>
            <w:r>
              <w:t xml:space="preserve">264.4</w:t>
            </w:r>
          </w:p>
        </w:tc>
        <w:tc>
          <w:tcPr/>
          <w:p>
            <w:pPr>
              <w:pStyle w:val="Compact"/>
              <w:jc w:val="right"/>
            </w:pPr>
            <w:r>
              <w:t xml:space="preserve">3.219</w:t>
            </w:r>
          </w:p>
        </w:tc>
        <w:tc>
          <w:tcPr/>
          <w:p>
            <w:pPr>
              <w:pStyle w:val="Compact"/>
              <w:jc w:val="right"/>
            </w:pPr>
            <w:r>
              <w:t xml:space="preserve">0.0000</w:t>
            </w:r>
          </w:p>
        </w:tc>
        <w:tc>
          <w:tcPr/>
          <w:p>
            <w:pPr>
              <w:pStyle w:val="Compact"/>
            </w:pPr>
          </w:p>
        </w:tc>
      </w:tr>
    </w:tbl>
    <w:bookmarkEnd w:id="23"/>
    <w:bookmarkStart w:id="24"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Figure 4A shows the proposal controls, while Fig. 4B–D reports runtime and planning controls.</w:t>
      </w:r>
    </w:p>
    <w:p>
      <w:pPr>
        <w:pStyle w:val="BodyText"/>
      </w:pPr>
      <w:r>
        <w:t xml:space="preserve">In the post-hoc neighbourhood-weight sensitivity, the mean strict FoM ranged</w:t>
      </w:r>
      <w:r>
        <w:t xml:space="preserve"> </w:t>
      </w:r>
      <w:r>
        <w:t xml:space="preserve">from 0.19598 at weight 0 to 0.19472 at weight 0.7 in 2023, and from 0.25280</w:t>
      </w:r>
      <w:r>
        <w:t xml:space="preserve"> </w:t>
      </w:r>
      <w:r>
        <w:t xml:space="preserve">at weight 0 to 0.25130 at weight 0.7 in 2024; the complete strict-evaluator</w:t>
      </w:r>
      <w:r>
        <w:t xml:space="preserve"> </w:t>
      </w:r>
      <w:r>
        <w:t xml:space="preserve">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24"/>
    <w:bookmarkStart w:id="2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bookmarkEnd w:id="25"/>
    <w:bookmarkEnd w:id="26"/>
    <w:bookmarkStart w:id="27"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noisy annual labels. The defensible contribution is that a transition proposal and a planning admission rule can be represented and inspected separately. Under the unmatched public-data pipeline, Geospatial Kernel has the largest strict transition FoM at the one-step horizon, while GeoFM-LDN has the largest value after recursive two-step rollout. The high-confidence subset shows near-zero skill for all models in 2023 and at most 0.0188 FoM in 2024, so full-grid rankings should not be interpreted as validated urban-change skill. We therefore treat the planning frontier as conditional on public proxy objectives and synthetic actions.</w:t>
      </w:r>
    </w:p>
    <w:p>
      <w:pPr>
        <w:pStyle w:val="BodyText"/>
      </w:pPr>
      <w:r>
        <w:t xml:space="preserve">The evidence remains bounded. The six classes are remote-sensing land cover, not</w:t>
      </w:r>
      <w:r>
        <w:t xml:space="preserve"> </w:t>
      </w:r>
      <w:r>
        <w:t xml:space="preserve">statutory residential, commercial or industrial land use. Dynamic World labels</w:t>
      </w:r>
      <w:r>
        <w:t xml:space="preserve"> </w:t>
      </w:r>
      <w:r>
        <w:t xml:space="preserve">show substantial annual uncertainty and apparent turnover; no independent</w:t>
      </w:r>
      <w:r>
        <w:t xml:space="preserve"> </w:t>
      </w:r>
      <w:r>
        <w:t xml:space="preserve">2023–2024 change product or observed 2025–2031 labels was available. Public</w:t>
      </w:r>
      <w:r>
        <w:t xml:space="preserve"> </w:t>
      </w:r>
      <w:r>
        <w:t xml:space="preserve">roads, wetland and protected-area layers are proxies, future drivers are held at</w:t>
      </w:r>
      <w:r>
        <w:t xml:space="preserve"> </w:t>
      </w:r>
      <w:r>
        <w:t xml:space="preserve">2024, and the green-priority action has no water-budget constraint. The FLUS-style</w:t>
      </w:r>
      <w:r>
        <w:t xml:space="preserve"> </w:t>
      </w:r>
      <w:r>
        <w:t xml:space="preserve">control is an Apple-Silicon binary rebuilt from the public GeoSOS source base</w:t>
      </w:r>
      <w:r>
        <w:t xml:space="preserve"> </w:t>
      </w:r>
      <w:r>
        <w:t xml:space="preserve">with the author’s</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successful 25-feature run is a</w:t>
      </w:r>
      <w:r>
        <w:t xml:space="preserve"> </w:t>
      </w:r>
      <w:r>
        <w:t xml:space="preserve">matched-input diagnostic reported separately from the primary unmatched control,</w:t>
      </w:r>
      <w:r>
        <w:t xml:space="preserve"> </w:t>
      </w:r>
      <w:r>
        <w:t xml:space="preserve">with two of its three seeds explicitly flagged as zero-change degeneracies.</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End w:id="27"/>
    <w:bookmarkStart w:id="28"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in the accompanying repository.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current raster audit;</w:t>
      </w:r>
      <w:r>
        <w:t xml:space="preserve"> </w:t>
      </w:r>
      <w:r>
        <w:rPr>
          <w:rStyle w:val="VerbatimChar"/>
        </w:rPr>
        <w:t xml:space="preserve">output_audit_reproducible.json</w:t>
      </w:r>
      <w:r>
        <w:t xml:space="preserve"> </w:t>
      </w:r>
      <w:r>
        <w:t xml:space="preserve">is a compatibility copy produced by the same run;</w:t>
      </w:r>
    </w:p>
    <w:p>
      <w:pPr>
        <w:pStyle w:val="Compact"/>
        <w:numPr>
          <w:ilvl w:val="0"/>
          <w:numId w:val="1002"/>
        </w:numPr>
      </w:pPr>
      <w:r>
        <w:rPr>
          <w:rStyle w:val="VerbatimChar"/>
        </w:rPr>
        <w:t xml:space="preserve">data_audit.json</w:t>
      </w:r>
      <w:r>
        <w:t xml:space="preserve">,</w:t>
      </w:r>
      <w:r>
        <w:t xml:space="preserve"> </w:t>
      </w:r>
      <w:r>
        <w:rPr>
          <w:rStyle w:val="VerbatimChar"/>
        </w:rPr>
        <w:t xml:space="preserve">protocol.json</w:t>
      </w:r>
      <w:r>
        <w:t xml:space="preserve">,</w:t>
      </w:r>
      <w:r>
        <w:t xml:space="preserve"> </w:t>
      </w:r>
      <w:r>
        <w:rPr>
          <w:rStyle w:val="VerbatimChar"/>
        </w:rPr>
        <w:t xml:space="preserve">gee_input_manifest.json</w:t>
      </w:r>
      <w:r>
        <w:t xml:space="preserve"> </w:t>
      </w:r>
      <w:r>
        <w:t xml:space="preserve">and</w:t>
      </w:r>
      <w:r>
        <w:t xml:space="preserve"> </w:t>
      </w:r>
      <w:r>
        <w:rPr>
          <w:rStyle w:val="VerbatimChar"/>
        </w:rPr>
        <w:t xml:space="preserve">osm_input_manifest.json</w:t>
      </w:r>
      <w:r>
        <w:t xml:space="preserve"> </w:t>
      </w:r>
      <w:r>
        <w:t xml:space="preserve">for data provenance;</w:t>
      </w:r>
    </w:p>
    <w:p>
      <w:pPr>
        <w:pStyle w:val="Compact"/>
        <w:numPr>
          <w:ilvl w:val="0"/>
          <w:numId w:val="1002"/>
        </w:numPr>
      </w:pPr>
      <w:r>
        <w:t xml:space="preserve">The released bundle includes the aligned 2017–2024 public rasters, historical seed and ensemble prediction rasters, 2025–2031 planning seed and ensemble rasters, nine GeoPackages of dissolved change footprints, the mechanism-ablation report, model checkpoints, and the SHA-256 manifest. Text hashes use canonical LF line endings, and the byte-length check applies the same normalization on text records, so a Windows checkout with</w:t>
      </w:r>
      <w:r>
        <w:t xml:space="preserve"> </w:t>
      </w:r>
      <w:r>
        <w:rPr>
          <w:rStyle w:val="VerbatimChar"/>
        </w:rPr>
        <w:t xml:space="preserve">core.autocrlf=true</w:t>
      </w:r>
      <w:r>
        <w:t xml:space="preserve"> </w:t>
      </w:r>
      <w:r>
        <w:t xml:space="preserve">can pass the manifest gate. The locked macOS arm64 execution environment remains the reference for model outputs. An author-run same-architecture arm64 Linux comparison of six historical Kernel rasters found zero categorical-cell differences and zero strict-FoM delta; earlier x86_64 differences are disclosed but not independently characterised here. No private database address, credential or client-only service is included. Authoritative Abu Dhabi land-use and independent change-validation data remain outside this study.</w:t>
      </w:r>
    </w:p>
    <w:bookmarkEnd w:id="28"/>
    <w:bookmarkStart w:id="29"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data_agent/uwm/geospatial_kernel/runtime.py</w:t>
      </w:r>
      <w:r>
        <w:t xml:space="preserve"> </w:t>
      </w:r>
      <w:r>
        <w:t xml:space="preserve">for the vendored runtime snapshot;</w:t>
      </w:r>
    </w:p>
    <w:p>
      <w:pPr>
        <w:pStyle w:val="Compact"/>
        <w:numPr>
          <w:ilvl w:val="0"/>
          <w:numId w:val="1003"/>
        </w:numPr>
      </w:pPr>
      <w:r>
        <w:rPr>
          <w:rStyle w:val="VerbatimChar"/>
        </w:rPr>
        <w:t xml:space="preserve">render_nature_figures.py</w:t>
      </w:r>
      <w:r>
        <w:t xml:space="preserve"> </w:t>
      </w:r>
      <w:r>
        <w:t xml:space="preserve">for publication artwork.</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under</w:t>
      </w:r>
      <w:r>
        <w:t xml:space="preserve"> </w:t>
      </w:r>
      <w:r>
        <w:rPr>
          <w:rStyle w:val="VerbatimChar"/>
        </w:rPr>
        <w:t xml:space="preserve">benchmarks/abu_dhabi_land_use_v1/external/</w:t>
      </w:r>
      <w:r>
        <w:t xml:space="preserve"> </w:t>
      </w:r>
      <w:r>
        <w:t xml:space="preserve">and</w:t>
      </w:r>
      <w:r>
        <w:t xml:space="preserve"> </w:t>
      </w:r>
      <w:r>
        <w:rPr>
          <w:rStyle w:val="VerbatimChar"/>
        </w:rPr>
        <w:t xml:space="preserve">artifacts/predictions/</w:t>
      </w:r>
      <w:r>
        <w:t xml:space="preserve">.</w:t>
      </w:r>
      <w:r>
        <w:t xml:space="preserve"> </w:t>
      </w:r>
      <w:r>
        <w:t xml:space="preserve">The vendored FLUS executable is a macOS arm64 binary rebuilt from the GeoSOS</w:t>
      </w:r>
      <w:r>
        <w:t xml:space="preserve"> </w:t>
      </w:r>
      <w:r>
        <w:t xml:space="preserve">public FLUS source base. The author-modified source, including</w:t>
      </w:r>
      <w:r>
        <w:t xml:space="preserve"> </w:t>
      </w:r>
      <w:r>
        <w:rPr>
          <w:rStyle w:val="VerbatimChar"/>
        </w:rPr>
        <w:t xml:space="preserve">train-update</w:t>
      </w:r>
      <w:r>
        <w:t xml:space="preserve"> </w:t>
      </w:r>
      <w:r>
        <w:t xml:space="preserve">and</w:t>
      </w:r>
      <w:r>
        <w:t xml:space="preserve"> </w:t>
      </w:r>
      <w:r>
        <w:rPr>
          <w:rStyle w:val="VerbatimChar"/>
        </w:rPr>
        <w:t xml:space="preserve">FLUS_RANDOM_SEED</w:t>
      </w:r>
      <w:r>
        <w:t xml:space="preserve">, is archived at</w:t>
      </w:r>
      <w:r>
        <w:t xml:space="preserve"> </w:t>
      </w:r>
      <w:r>
        <w:rPr>
          <w:rStyle w:val="VerbatimChar"/>
        </w:rPr>
        <w:t xml:space="preserve">https://github.com/zhouning/FLUS_console_crossplatform</w:t>
      </w:r>
      <w:r>
        <w:t xml:space="preserve">, tag</w:t>
      </w:r>
      <w:r>
        <w:t xml:space="preserve"> </w:t>
      </w:r>
      <w:r>
        <w:rPr>
          <w:rStyle w:val="VerbatimChar"/>
        </w:rPr>
        <w:t xml:space="preserve">paper-benchmark-flus-v1</w:t>
      </w:r>
      <w:r>
        <w:t xml:space="preserve"> </w:t>
      </w:r>
      <w:r>
        <w:t xml:space="preserve">at commit</w:t>
      </w:r>
      <w:r>
        <w:t xml:space="preserve"> </w:t>
      </w:r>
      <w:r>
        <w:rPr>
          <w:rStyle w:val="VerbatimChar"/>
        </w:rPr>
        <w:t xml:space="preserve">deb0a54</w:t>
      </w:r>
      <w:r>
        <w:t xml:space="preserve"> </w:t>
      </w:r>
      <w:r>
        <w:t xml:space="preserve">(the GeoSOS source release and Liu et al. (2017) are cited above). Rebuilding</w:t>
      </w:r>
      <w:r>
        <w:t xml:space="preserve"> </w:t>
      </w:r>
      <w:r>
        <w:t xml:space="preserve">that commit on macOS arm64 produced SHA-256</w:t>
      </w:r>
      <w:r>
        <w:t xml:space="preserve"> </w:t>
      </w:r>
      <w:r>
        <w:rPr>
          <w:rStyle w:val="VerbatimChar"/>
        </w:rPr>
        <w:t xml:space="preserve">9839ce50950442d4ef49e4d2129a1ba27735e1955c2d4975ae51067c1c3c9964</w:t>
      </w:r>
      <w:r>
        <w:t xml:space="preserve">,</w:t>
      </w:r>
      <w:r>
        <w:t xml:space="preserve"> </w:t>
      </w:r>
      <w:r>
        <w:t xml:space="preserve">identical to the vendored executable.</w:t>
      </w:r>
      <w:r>
        <w:t xml:space="preserve"> </w:t>
      </w:r>
      <w:r>
        <w:t xml:space="preserve">The tagged author-modified source can also be built on Linux and Windows using</w:t>
      </w:r>
      <w:r>
        <w:t xml:space="preserve"> </w:t>
      </w:r>
      <w:r>
        <w:t xml:space="preserve">the repository instructions, although cross-architecture categorical identity</w:t>
      </w:r>
      <w:r>
        <w:t xml:space="preserve"> </w:t>
      </w:r>
      <w:r>
        <w:t xml:space="preserve">is not guaranteed. As an upstream-only fallback, the public FLUS CA source can</w:t>
      </w:r>
      <w:r>
        <w:t xml:space="preserve"> </w:t>
      </w:r>
      <w:r>
        <w:t xml:space="preserve">be paired with an open Python ANN implementation; this reproduces the CA</w:t>
      </w:r>
      <w:r>
        <w:t xml:space="preserve"> </w:t>
      </w:r>
      <w:r>
        <w:t xml:space="preserve">protocol and yields a same-order baseline, but the unmodified upstream CA uses</w:t>
      </w:r>
      <w:r>
        <w:t xml:space="preserve"> </w:t>
      </w:r>
      <w:r>
        <w:t xml:space="preserve">time seeding rather than</w:t>
      </w:r>
      <w:r>
        <w:t xml:space="preserve"> </w:t>
      </w:r>
      <w:r>
        <w:rPr>
          <w:rStyle w:val="VerbatimChar"/>
        </w:rPr>
        <w:t xml:space="preserve">FLUS_RANDOM_SEED</w:t>
      </w:r>
      <w:r>
        <w:t xml:space="preserve">. A compatible local build is required</w:t>
      </w:r>
      <w:r>
        <w:t xml:space="preserve"> </w:t>
      </w:r>
      <w:r>
        <w:t xml:space="preserve">to execute the FLUS track outside macOS arm64. The repository is intended to</w:t>
      </w:r>
      <w:r>
        <w:t xml:space="preserve"> </w:t>
      </w:r>
      <w:r>
        <w:t xml:space="preserve">be public; an archival DOI and the corresponding-author e-mail should be added</w:t>
      </w:r>
      <w:r>
        <w:t xml:space="preserve"> </w:t>
      </w:r>
      <w:r>
        <w:t xml:space="preserve">to the submission metadata.</w:t>
      </w:r>
    </w:p>
    <w:bookmarkEnd w:id="29"/>
    <w:bookmarkStart w:id="30"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None.</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30"/>
    <w:bookmarkStart w:id="31"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et al.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Gorelick, N., et al.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et al. (2021). A patch-generating land use simulation model integrating multisource data for urban growth simulation.</w:t>
      </w:r>
      <w:r>
        <w:t xml:space="preserve"> </w:t>
      </w:r>
      <w:r>
        <w:rPr>
          <w:i/>
          <w:iCs/>
        </w:rPr>
        <w:t xml:space="preserve">Landscape and Urban Planning</w:t>
      </w:r>
      <w:r>
        <w:t xml:space="preserve">, 214, 104157. https://doi.org/10.1016/j.landurbplan.2021.104157</w:t>
      </w:r>
    </w:p>
    <w:p>
      <w:pPr>
        <w:pStyle w:val="BodyText"/>
      </w:pPr>
      <w:r>
        <w:t xml:space="preserve">Liu, X., et al.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Pontius, R. G., Jr., Boersma, W., Castella, J.-C., et al. (2008). Comparing the input, output, and validation maps for several models of land change.</w:t>
      </w:r>
      <w:r>
        <w:t xml:space="preserve"> </w:t>
      </w:r>
      <w:r>
        <w:rPr>
          <w:i/>
          <w:iCs/>
        </w:rPr>
        <w:t xml:space="preserve">The Annals of Regional Science</w:t>
      </w:r>
      <w:r>
        <w:t xml:space="preserve">, 42, 11–37. DOI: 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DOI: 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https://doi.org/10.1016/S0198-9715(01)00017-8</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Rietveld, P., &amp; Verburg, P. H. (2011). Modeling land-use change with cellular automata: Issues and recommendations.</w:t>
      </w:r>
      <w:r>
        <w:t xml:space="preserve"> </w:t>
      </w:r>
      <w:r>
        <w:rPr>
          <w:i/>
          <w:iCs/>
        </w:rPr>
        <w:t xml:space="preserve">Journal of Land Use Science</w:t>
      </w:r>
      <w:r>
        <w:t xml:space="preserve">, 6, 247–265. https://doi.org/10.1080/1747423X.2011.562018</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et al. (2002). Modeling the spatial dynamics of regional land use: the CLUE-S model.</w:t>
      </w:r>
      <w:r>
        <w:t xml:space="preserve"> </w:t>
      </w:r>
      <w:r>
        <w:rPr>
          <w:i/>
          <w:iCs/>
        </w:rPr>
        <w:t xml:space="preserve">Environmental Management</w:t>
      </w:r>
      <w:r>
        <w:t xml:space="preserve">, 30, 391–405. https://doi.org/10.1007/s00267-002-2631-x</w:t>
      </w:r>
    </w:p>
    <w:p>
      <w:pPr>
        <w:pStyle w:val="BodyText"/>
      </w:pPr>
      <w:r>
        <w:t xml:space="preserve">Zanaga, D., et al. (2022). ESA WorldCover 10 m 2021 v200. Zenodo. https://doi.org/10.5281/zenodo.7254221</w:t>
      </w:r>
    </w:p>
    <w:bookmarkEnd w:id="31"/>
    <w:bookmarkStart w:id="47" w:name="figure-legends"/>
    <w:p>
      <w:pPr>
        <w:pStyle w:val="Heading2"/>
      </w:pPr>
      <w:r>
        <w:t xml:space="preserve">Figure legends</w:t>
      </w:r>
    </w:p>
    <w:p>
      <w:pPr>
        <w:pStyle w:val="FirstParagraph"/>
      </w:pPr>
      <w:r>
        <w:drawing>
          <wp:inline>
            <wp:extent cx="5334000" cy="3481042"/>
            <wp:effectExtent b="0" l="0" r="0" t="0"/>
            <wp:docPr descr="" title="" id="33" name="Picture"/>
            <a:graphic>
              <a:graphicData uri="http://schemas.openxmlformats.org/drawingml/2006/picture">
                <pic:pic>
                  <pic:nvPicPr>
                    <pic:cNvPr descr="figures/fig01_benchmark_contract.png" id="34" name="Picture"/>
                    <pic:cNvPicPr>
                      <a:picLocks noChangeArrowheads="1" noChangeAspect="1"/>
                    </pic:cNvPicPr>
                  </pic:nvPicPr>
                  <pic:blipFill>
                    <a:blip r:embed="rId32"/>
                    <a:stretch>
                      <a:fillRect/>
                    </a:stretch>
                  </pic:blipFill>
                  <pic:spPr bwMode="auto">
                    <a:xfrm>
                      <a:off x="0" y="0"/>
                      <a:ext cx="5334000" cy="3481042"/>
                    </a:xfrm>
                    <a:prstGeom prst="rect">
                      <a:avLst/>
                    </a:prstGeom>
                    <a:noFill/>
                    <a:ln w="9525">
                      <a:noFill/>
                      <a:headEnd/>
                      <a:tailEnd/>
                    </a:ln>
                  </pic:spPr>
                </pic:pic>
              </a:graphicData>
            </a:graphic>
          </wp:inline>
        </w:drawing>
      </w:r>
    </w:p>
    <w:p>
      <w:pPr>
        <w:pStyle w:val="BodyText"/>
      </w:pPr>
      <w:r>
        <w:rPr>
          <w:b/>
          <w:bCs/>
        </w:rPr>
        <w:t xml:space="preserve">Figure 1 | Benchmark and Geospatial Kernel execution contract.</w:t>
      </w:r>
      <w:r>
        <w:t xml:space="preserve"> </w:t>
      </w:r>
      <w:r>
        <w:t xml:space="preserve">Public annual land-cover, embedding, night-light, terrain and road layers are aligned to a common 100-m Abu Dhabi grid. Each model receives the same state, action and public proxy exclusions. The Geospatial Kernel exposes a learned proposal, constraint projection and state writeback. Historical, open-loop and planning tracks use one audit contract. The schematic does not imply statutory planning boundaries.</w:t>
      </w:r>
    </w:p>
    <w:p>
      <w:pPr>
        <w:pStyle w:val="BodyText"/>
      </w:pPr>
      <w:r>
        <w:drawing>
          <wp:inline>
            <wp:extent cx="5334000" cy="2869794"/>
            <wp:effectExtent b="0" l="0" r="0" t="0"/>
            <wp:docPr descr="" title="" id="36" name="Picture"/>
            <a:graphic>
              <a:graphicData uri="http://schemas.openxmlformats.org/drawingml/2006/picture">
                <pic:pic>
                  <pic:nvPicPr>
                    <pic:cNvPr descr="figures/fig02_historical_validation.png" id="37" name="Picture"/>
                    <pic:cNvPicPr>
                      <a:picLocks noChangeArrowheads="1" noChangeAspect="1"/>
                    </pic:cNvPicPr>
                  </pic:nvPicPr>
                  <pic:blipFill>
                    <a:blip r:embed="rId35"/>
                    <a:stretch>
                      <a:fillRect/>
                    </a:stretch>
                  </pic:blipFill>
                  <pic:spPr bwMode="auto">
                    <a:xfrm>
                      <a:off x="0" y="0"/>
                      <a:ext cx="5334000" cy="2869794"/>
                    </a:xfrm>
                    <a:prstGeom prst="rect">
                      <a:avLst/>
                    </a:prstGeom>
                    <a:noFill/>
                    <a:ln w="9525">
                      <a:noFill/>
                      <a:headEnd/>
                      <a:tailEnd/>
                    </a:ln>
                  </pic:spPr>
                </pic:pic>
              </a:graphicData>
            </a:graphic>
          </wp:inline>
        </w:drawing>
      </w:r>
    </w:p>
    <w:p>
      <w:pPr>
        <w:pStyle w:val="BodyText"/>
      </w:pPr>
      <w:r>
        <w:rPr>
          <w:b/>
          <w:bCs/>
        </w:rPr>
        <w:t xml:space="preserve">Figure 2 | Historical allocation skill.</w:t>
      </w:r>
      <w:r>
        <w:t xml:space="preserve"> </w:t>
      </w:r>
      <w:r>
        <w:t xml:space="preserve">Bars show the revised strict</w:t>
      </w:r>
      <w:r>
        <w:t xml:space="preserve"> </w:t>
      </w:r>
      <w:r>
        <w:t xml:space="preserve">multi-class FoM, change F1, overall accuracy and macro-F1 for the 2023 one-step</w:t>
      </w:r>
      <w:r>
        <w:t xml:space="preserve"> </w:t>
      </w:r>
      <w:r>
        <w:t xml:space="preserve">and 2024 two-step open-loop tests, with persistence and random minimum-change</w:t>
      </w:r>
      <w:r>
        <w:t xml:space="preserve"> </w:t>
      </w:r>
      <w:r>
        <w:t xml:space="preserve">controls and the FLUS matched-input seed-31 diagnostic. Error bars show</w:t>
      </w:r>
      <w:r>
        <w:t xml:space="preserve"> </w:t>
      </w:r>
      <w:r>
        <w:t xml:space="preserve">population standard deviation across the three frozen seeds for the three main</w:t>
      </w:r>
      <w:r>
        <w:t xml:space="preserve"> </w:t>
      </w:r>
      <w:r>
        <w:t xml:space="preserve">models; the matched-input bar has no error bar because seeds 47 and 73 are</w:t>
      </w:r>
      <w:r>
        <w:t xml:space="preserve"> </w:t>
      </w:r>
      <w:r>
        <w:t xml:space="preserve">zero-change degeneracy diagnostics and are not averaged. Paired spatial-block</w:t>
      </w:r>
      <w:r>
        <w:t xml:space="preserve"> </w:t>
      </w:r>
      <w:r>
        <w:t xml:space="preserve">intervals for the main models are reported in the machine-readable comparison</w:t>
      </w:r>
      <w:r>
        <w:t xml:space="preserve"> </w:t>
      </w:r>
      <w:r>
        <w:t xml:space="preserve">report.</w:t>
      </w:r>
    </w:p>
    <w:p>
      <w:pPr>
        <w:pStyle w:val="BodyText"/>
      </w:pPr>
      <w:r>
        <w:drawing>
          <wp:inline>
            <wp:extent cx="5334000" cy="3551268"/>
            <wp:effectExtent b="0" l="0" r="0" t="0"/>
            <wp:docPr descr="" title="" id="39" name="Picture"/>
            <a:graphic>
              <a:graphicData uri="http://schemas.openxmlformats.org/drawingml/2006/picture">
                <pic:pic>
                  <pic:nvPicPr>
                    <pic:cNvPr descr="figures/fig03_planning_objectives.png" id="40" name="Picture"/>
                    <pic:cNvPicPr>
                      <a:picLocks noChangeArrowheads="1" noChangeAspect="1"/>
                    </pic:cNvPicPr>
                  </pic:nvPicPr>
                  <pic:blipFill>
                    <a:blip r:embed="rId38"/>
                    <a:stretch>
                      <a:fillRect/>
                    </a:stretch>
                  </pic:blipFill>
                  <pic:spPr bwMode="auto">
                    <a:xfrm>
                      <a:off x="0" y="0"/>
                      <a:ext cx="5334000" cy="3551268"/>
                    </a:xfrm>
                    <a:prstGeom prst="rect">
                      <a:avLst/>
                    </a:prstGeom>
                    <a:noFill/>
                    <a:ln w="9525">
                      <a:noFill/>
                      <a:headEnd/>
                      <a:tailEnd/>
                    </a:ln>
                  </pic:spPr>
                </pic:pic>
              </a:graphicData>
            </a:graphic>
          </wp:inline>
        </w:drawing>
      </w:r>
    </w:p>
    <w:p>
      <w:pPr>
        <w:pStyle w:val="BodyText"/>
      </w:pPr>
      <w:r>
        <w:rPr>
          <w:b/>
          <w:bCs/>
        </w:rPr>
        <w:t xml:space="preserve">Figure 3 | Conditional planning objectives and morphology diagnostics.</w:t>
      </w:r>
      <w:r>
        <w:t xml:space="preserve"> </w:t>
      </w:r>
      <w:r>
        <w:t xml:space="preserve">The</w:t>
      </w:r>
      <w:r>
        <w:t xml:space="preserve"> </w:t>
      </w:r>
      <w:r>
        <w:t xml:space="preserve">2031 outcomes compare the three models under moderate-growth, green-priority-</w:t>
      </w:r>
      <w:r>
        <w:t xml:space="preserve"> </w:t>
      </w:r>
      <w:r>
        <w:t xml:space="preserve">growth and high-outward-growth actions. Panels A–C show the release objectives:</w:t>
      </w:r>
      <w:r>
        <w:t xml:space="preserve"> </w:t>
      </w:r>
      <w:r>
        <w:t xml:space="preserve">distance to major roads, distance to prior built cells and components in the</w:t>
      </w:r>
      <w:r>
        <w:t xml:space="preserve"> </w:t>
      </w:r>
      <w:r>
        <w:t xml:space="preserve">combined 2024-built and newly built footprint per 1,000 valid cells. Panel D shows</w:t>
      </w:r>
      <w:r>
        <w:t xml:space="preserve"> </w:t>
      </w:r>
      <w:r>
        <w:t xml:space="preserve">ecological conversion as a descriptive diagnostic; panel E shows vegetation gain</w:t>
      </w:r>
      <w:r>
        <w:t xml:space="preserve"> </w:t>
      </w:r>
      <w:r>
        <w:t xml:space="preserve">as a scenario-input diagnostic; panel F shows the 500-m leapfrog rate. Stars mark</w:t>
      </w:r>
      <w:r>
        <w:t xml:space="preserve"> </w:t>
      </w:r>
      <w:r>
        <w:t xml:space="preserve">non-dominated candidates within each scenario; bars show means ± population SD</w:t>
      </w:r>
      <w:r>
        <w:t xml:space="preserve"> </w:t>
      </w:r>
      <w:r>
        <w:t xml:space="preserve">across three seeds.</w:t>
      </w:r>
    </w:p>
    <w:p>
      <w:pPr>
        <w:pStyle w:val="BodyText"/>
      </w:pPr>
      <w:r>
        <w:drawing>
          <wp:inline>
            <wp:extent cx="5334000" cy="3704556"/>
            <wp:effectExtent b="0" l="0" r="0" t="0"/>
            <wp:docPr descr="" title="" id="42" name="Picture"/>
            <a:graphic>
              <a:graphicData uri="http://schemas.openxmlformats.org/drawingml/2006/picture">
                <pic:pic>
                  <pic:nvPicPr>
                    <pic:cNvPr descr="figures/fig04_mechanism_ablation.png" id="43" name="Picture"/>
                    <pic:cNvPicPr>
                      <a:picLocks noChangeArrowheads="1" noChangeAspect="1"/>
                    </pic:cNvPicPr>
                  </pic:nvPicPr>
                  <pic:blipFill>
                    <a:blip r:embed="rId41"/>
                    <a:stretch>
                      <a:fillRect/>
                    </a:stretch>
                  </pic:blipFill>
                  <pic:spPr bwMode="auto">
                    <a:xfrm>
                      <a:off x="0" y="0"/>
                      <a:ext cx="5334000" cy="3704556"/>
                    </a:xfrm>
                    <a:prstGeom prst="rect">
                      <a:avLst/>
                    </a:prstGeom>
                    <a:noFill/>
                    <a:ln w="9525">
                      <a:noFill/>
                      <a:headEnd/>
                      <a:tailEnd/>
                    </a:ln>
                  </pic:spPr>
                </pic:pic>
              </a:graphicData>
            </a:graphic>
          </wp:inline>
        </w:drawing>
      </w:r>
    </w:p>
    <w:p>
      <w:pPr>
        <w:pStyle w:val="BodyText"/>
      </w:pPr>
      <w:r>
        <w:rPr>
          <w:b/>
          <w:bCs/>
        </w:rPr>
        <w:t xml:space="preserve">Figure 4 | Mechanism controls.</w:t>
      </w:r>
      <w:r>
        <w:t xml:space="preserve"> </w:t>
      </w:r>
      <w:r>
        <w:t xml:space="preserve">Proposal, allocator, action, constraint and</w:t>
      </w:r>
      <w:r>
        <w:t xml:space="preserve"> </w:t>
      </w:r>
      <w:r>
        <w:t xml:space="preserve">writeback controls are compared under the same public-data protocol. Deleting</w:t>
      </w:r>
      <w:r>
        <w:t xml:space="preserve"> </w:t>
      </w:r>
      <w:r>
        <w:t xml:space="preserve">the action lowers historical strict FoM, whereas deleting the hard constraint</w:t>
      </w:r>
      <w:r>
        <w:t xml:space="preserve"> </w:t>
      </w:r>
      <w:r>
        <w:t xml:space="preserve">raises agreement with noisy labels while violating the planning contract.</w:t>
      </w:r>
      <w:r>
        <w:t xml:space="preserve"> </w:t>
      </w:r>
      <w:r>
        <w:t xml:space="preserve">These are diagnostic ablations, not causal policy experiments.</w:t>
      </w:r>
    </w:p>
    <w:p>
      <w:pPr>
        <w:pStyle w:val="BodyText"/>
      </w:pPr>
      <w:r>
        <w:drawing>
          <wp:inline>
            <wp:extent cx="5334000" cy="5443359"/>
            <wp:effectExtent b="0" l="0" r="0" t="0"/>
            <wp:docPr descr="" title="" id="45" name="Picture"/>
            <a:graphic>
              <a:graphicData uri="http://schemas.openxmlformats.org/drawingml/2006/picture">
                <pic:pic>
                  <pic:nvPicPr>
                    <pic:cNvPr descr="figures/fig05_planning_maps_2031.png" id="46" name="Picture"/>
                    <pic:cNvPicPr>
                      <a:picLocks noChangeArrowheads="1" noChangeAspect="1"/>
                    </pic:cNvPicPr>
                  </pic:nvPicPr>
                  <pic:blipFill>
                    <a:blip r:embed="rId44"/>
                    <a:stretch>
                      <a:fillRect/>
                    </a:stretch>
                  </pic:blipFill>
                  <pic:spPr bwMode="auto">
                    <a:xfrm>
                      <a:off x="0" y="0"/>
                      <a:ext cx="5334000" cy="5443359"/>
                    </a:xfrm>
                    <a:prstGeom prst="rect">
                      <a:avLst/>
                    </a:prstGeom>
                    <a:noFill/>
                    <a:ln w="9525">
                      <a:noFill/>
                      <a:headEnd/>
                      <a:tailEnd/>
                    </a:ln>
                  </pic:spPr>
                </pic:pic>
              </a:graphicData>
            </a:graphic>
          </wp:inline>
        </w:drawing>
      </w:r>
    </w:p>
    <w:p>
      <w:pPr>
        <w:pStyle w:val="BodyText"/>
      </w:pPr>
      <w:r>
        <w:rPr>
          <w:b/>
          <w:bCs/>
        </w:rPr>
        <w:t xml:space="preserve">Figure 5 | 2031 spatial footprints.</w:t>
      </w:r>
      <w:r>
        <w:t xml:space="preserve"> </w:t>
      </w:r>
      <w:r>
        <w:t xml:space="preserve">Each panel is a 100-m ensemble raster</w:t>
      </w:r>
      <w:r>
        <w:t xml:space="preserve"> </w:t>
      </w:r>
      <w:r>
        <w:t xml:space="preserve">relative to the observed 2024 state. Overlays identify newly built, newly low-</w:t>
      </w:r>
      <w:r>
        <w:t xml:space="preserve"> </w:t>
      </w:r>
      <w:r>
        <w:t xml:space="preserve">vegetated and retired-built cells; they are raster-cell change footprints, not</w:t>
      </w:r>
      <w:r>
        <w:t xml:space="preserve"> </w:t>
      </w:r>
      <w:r>
        <w:t xml:space="preserve">cadastral parcels.</w:t>
      </w:r>
    </w:p>
    <w:bookmarkEnd w:id="47"/>
    <w:bookmarkStart w:id="48"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4"/>
        </w:numPr>
      </w:pPr>
      <w:r>
        <w:rPr>
          <w:b/>
          <w:bCs/>
        </w:rPr>
        <w:t xml:space="preserve">Supplementary Table S3:</w:t>
      </w:r>
      <w:r>
        <w:t xml:space="preserve"> </w:t>
      </w:r>
      <w:r>
        <w:t xml:space="preserve">Raster and vector delivery audit, hashes and layer counts.</w:t>
      </w:r>
    </w:p>
    <w:p>
      <w:pPr>
        <w:pStyle w:val="Compact"/>
        <w:numPr>
          <w:ilvl w:val="0"/>
          <w:numId w:val="1004"/>
        </w:numPr>
      </w:pPr>
      <w:r>
        <w:rPr>
          <w:b/>
          <w:bCs/>
        </w:rPr>
        <w:t xml:space="preserve">Supplementary Figure S1:</w:t>
      </w:r>
      <w:r>
        <w:t xml:space="preserve"> </w:t>
      </w:r>
      <w:r>
        <w:t xml:space="preserve">Dynamic World confidence and high-confidence change sensitivity.</w:t>
      </w:r>
    </w:p>
    <w:p>
      <w:pPr>
        <w:pStyle w:val="Compact"/>
        <w:numPr>
          <w:ilvl w:val="0"/>
          <w:numId w:val="1004"/>
        </w:numPr>
      </w:pPr>
      <w:r>
        <w:rPr>
          <w:b/>
          <w:bCs/>
        </w:rPr>
        <w:t xml:space="preserve">Supplementary Figure S2:</w:t>
      </w:r>
      <w:r>
        <w:t xml:space="preserve"> </w:t>
      </w:r>
      <w:r>
        <w:t xml:space="preserve">Historical maps and change-error maps for 2024.</w:t>
      </w:r>
    </w:p>
    <w:p>
      <w:pPr>
        <w:pStyle w:val="Compact"/>
        <w:numPr>
          <w:ilvl w:val="0"/>
          <w:numId w:val="1004"/>
        </w:numPr>
      </w:pPr>
      <w:r>
        <w:rPr>
          <w:b/>
          <w:bCs/>
        </w:rPr>
        <w:t xml:space="preserve">Supplementary Figure S3:</w:t>
      </w:r>
      <w:r>
        <w:t xml:space="preserve"> </w:t>
      </w:r>
      <w:r>
        <w:t xml:space="preserve">Driver layers and experiment design in English.</w:t>
      </w:r>
    </w:p>
    <w:p>
      <w:r>
        <w:pict>
          <v:rect style="width:0;height:1.5pt" o:hralign="center" o:hrstd="t" o:hr="t"/>
        </w:pic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2026-09-06T15:08:21Z</dcterms:created>
  <dcterms:modified xsi:type="dcterms:W3CDTF">2026-09-06T15:08:21Z</dcterms:modified>
</cp:coreProperties>
</file>

<file path=docProps/custom.xml><?xml version="1.0" encoding="utf-8"?>
<Properties xmlns="http://schemas.openxmlformats.org/officeDocument/2006/custom-properties" xmlns:vt="http://schemas.openxmlformats.org/officeDocument/2006/docPropsVTypes"/>
</file>