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4.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a792ae9d4bbdc58e2d9589266a4679e28954073"/>
    <w:p>
      <w:pPr>
        <w:pStyle w:val="Heading1"/>
      </w:pPr>
      <w:r>
        <w:t xml:space="preserve">Geospatial Kernel: a state–action–constraint core for urban land-cover planning</w:t>
      </w:r>
    </w:p>
    <w:p>
      <w:pPr>
        <w:pStyle w:val="FirstParagraph"/>
      </w:pPr>
      <w:r>
        <w:rPr>
          <w:b/>
          <w:bCs/>
        </w:rPr>
        <w:t xml:space="preserve">An Abu Dhabi benchmark with conditional multi-year scenario analysis</w:t>
      </w:r>
    </w:p>
    <w:p>
      <w:pPr>
        <w:pStyle w:val="BodyText"/>
      </w:pPr>
      <w:r>
        <w:rPr>
          <w:b/>
          <w:bCs/>
        </w:rPr>
        <w:t xml:space="preserve">Author:</w:t>
      </w:r>
      <w:r>
        <w:t xml:space="preserve"> </w:t>
      </w:r>
      <w:r>
        <w:t xml:space="preserve">Ning Zhou</w:t>
      </w:r>
      <w:r>
        <w:br/>
      </w:r>
      <w:r>
        <w:rPr>
          <w:b/>
          <w:bCs/>
        </w:rPr>
        <w:t xml:space="preserve">Affiliation:</w:t>
      </w:r>
      <w:r>
        <w:t xml:space="preserve"> </w:t>
      </w:r>
      <w:r>
        <w:t xml:space="preserve">Beijing Freedo Technology Co., Ltd.</w:t>
      </w:r>
      <w:r>
        <w:br/>
      </w:r>
      <w:r>
        <w:rPr>
          <w:b/>
          <w:bCs/>
        </w:rPr>
        <w:t xml:space="preserve">Corresponding author:</w:t>
      </w:r>
      <w:r>
        <w:t xml:space="preserve"> </w:t>
      </w:r>
      <w:r>
        <w:t xml:space="preserve">Ning Zhou</w:t>
      </w:r>
    </w:p>
    <w:p>
      <w:pPr>
        <w:pStyle w:val="BodyText"/>
      </w:pPr>
      <w:r>
        <w:t xml:space="preserve">This study is not an official Abu Dhabi planning forecast. Correspondence: Ning Zhou, Beijing Freedo Technology Co., Ltd.</w:t>
      </w:r>
    </w:p>
    <w:bookmarkStart w:id="9" w:name="abstract"/>
    <w:p>
      <w:pPr>
        <w:pStyle w:val="Heading2"/>
      </w:pPr>
      <w:r>
        <w:t xml:space="preserve">Abstract</w:t>
      </w:r>
    </w:p>
    <w:p>
      <w:pPr>
        <w:pStyle w:val="FirstParagraph"/>
      </w:pPr>
      <w:r>
        <w:t xml:space="preserve">Urban land-change models test how development demand may be distributed across space. Their planning value depends on explicit actions, hard constraints and consistent multi-year state transitions. We examine Geospatial Kernel, the algorithmic core of a Geospatial World Model, as an auditable state–action–constraint transition system for urban land-cover allocation. The Abu Dhabi benchmark specifies annual public land-cover products from 2017–2024, a 100-m grid, three computational seeds, destination-correct multi-class change Figure of Merit, persistence and minimum-change controls, spatial-block bootstrap intervals, and a frozen planning objective set spanning accessibility, compactness, fragmentation and vegetation balance. The implementation contribution is an inspectable proposal–projection–writeback execution boundary with fail-closed data and output audits. The public benchmark bundle, model source, checkpoints, historical prediction rasters, planning rasters, vector change packages and mechanism-control report are released with the repository and addressed by a reproducibility manifest. The resulting rankings are conditional pipeline comparisons, not claims of intrinsic learner superiority or official Abu Dhabi forecasting. The benchmark keeps public land-cover stress tests separate from authoritative statutory land use.</w:t>
      </w:r>
    </w:p>
    <w:bookmarkEnd w:id="9"/>
    <w:bookmarkStart w:id="10" w:name="highlights"/>
    <w:p>
      <w:pPr>
        <w:pStyle w:val="Heading2"/>
      </w:pPr>
      <w:r>
        <w:t xml:space="preserve">Highlights</w:t>
      </w:r>
    </w:p>
    <w:p>
      <w:pPr>
        <w:pStyle w:val="Compact"/>
        <w:numPr>
          <w:ilvl w:val="0"/>
          <w:numId w:val="1001"/>
        </w:numPr>
      </w:pPr>
      <w:r>
        <w:t xml:space="preserve">Geospatial Kernel separates transition proposals from constrained admission.</w:t>
      </w:r>
    </w:p>
    <w:p>
      <w:pPr>
        <w:pStyle w:val="Compact"/>
        <w:numPr>
          <w:ilvl w:val="0"/>
          <w:numId w:val="1001"/>
        </w:numPr>
      </w:pPr>
      <w:r>
        <w:t xml:space="preserve">Typed state–action–constraint traces make recursive updates auditable.</w:t>
      </w:r>
    </w:p>
    <w:p>
      <w:pPr>
        <w:pStyle w:val="Compact"/>
        <w:numPr>
          <w:ilvl w:val="0"/>
          <w:numId w:val="1001"/>
        </w:numPr>
      </w:pPr>
      <w:r>
        <w:t xml:space="preserve">Spatial-block uncertainty and paired model contrasts are prespecified.</w:t>
      </w:r>
    </w:p>
    <w:p>
      <w:pPr>
        <w:pStyle w:val="Compact"/>
        <w:numPr>
          <w:ilvl w:val="0"/>
          <w:numId w:val="1001"/>
        </w:numPr>
      </w:pPr>
      <w:r>
        <w:t xml:space="preserve">Four planning dimensions are reported without a weighted composite score.</w:t>
      </w:r>
    </w:p>
    <w:p>
      <w:pPr>
        <w:pStyle w:val="Compact"/>
        <w:numPr>
          <w:ilvl w:val="0"/>
          <w:numId w:val="1001"/>
        </w:numPr>
      </w:pPr>
      <w:r>
        <w:t xml:space="preserve">Public-data scenarios are stress tests, not statutory Abu Dhabi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such as GeoSOS-FLUS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common valid mask, annual class-count actions, hard exclusions and evaluator. The historical track uses observed target counts to isolate spatial allocation skill from demand error. The planning track starts from the observed 2024 state and applies three planner-supplied actions: moderate growth, green-priority growth and high outward growth. Abu Dhabi Plan 2030 provides an institutional planning context for discussing urban structure, but the numerical actions in this benchmark are not calibrated to that plan or to an official population forecast (Abu Dhabi Urban Planning Council, 2007). We ask four questions: whether the Kernel execution contract is auditable, whether its allocation skill is competitive, whether it produces feasible and spatially distinct allocations and which conclusions survive label and parameter sensitivity.</w:t>
      </w:r>
    </w:p>
    <w:p>
      <w:pPr>
        <w:pStyle w:val="BodyText"/>
      </w:pPr>
      <w:r>
        <w:t xml:space="preserve">The paper makes three bounded contributions. First, it gives a concrete state–action–constraint formulation for using a geospatial kernel as an algorithmic core rather than as an opaque end-to-end predictor. Second, it reports a multi-horizon pipeline comparison with GeoSOS-FLUS and GeoFM-LDN, including a case in which the Kernel does not win, while making the input imbalance explicit. Third, it turns the future maps into explicit stress-test artefacts, including cumulative rasters and vectorized transition footprints, while preserving the distinction between public-data land cover and authoritative legal land use.</w:t>
      </w:r>
    </w:p>
    <w:bookmarkEnd w:id="12"/>
    <w:bookmarkStart w:id="20" w:name="methods"/>
    <w:p>
      <w:pPr>
        <w:pStyle w:val="Heading2"/>
      </w:pPr>
      <w:r>
        <w:t xml:space="preserve">Methods</w:t>
      </w:r>
    </w:p>
    <w:bookmarkStart w:id="13" w:name="Xbffb9f76145a15c16a91fe0938c182a8beaf14a"/>
    <w:p>
      <w:pPr>
        <w:pStyle w:val="Heading3"/>
      </w:pPr>
      <w:r>
        <w:t xml:space="preserve">Study boundary, grid and temporal protocol</w:t>
      </w:r>
    </w:p>
    <w:p>
      <w:pPr>
        <w:pStyle w:val="FirstParagraph"/>
      </w:pPr>
      <w:r>
        <w:t xml:space="preserve">The study boundary is the polygon returned for OpenStreetMap relation R4479763, representing Abu Dhabi city.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observed sequence contains annual states for 2017–2024. Models were fit using the four transitions 2017→2018, 2018→2019, 2019→2020 and 2020→2021. A 2021→2022 transition was used for validation during model development. The historical test starts from 2022 and evaluates 2023 and 2024 in an open-loop rollout without observed-state writeback. The planning test starts from the observed 2024 state and recursively generates 2025–2031 under each scenario action.</w:t>
      </w:r>
    </w:p>
    <w:bookmarkEnd w:id="13"/>
    <w:bookmarkStart w:id="14" w:name="public-data-and-class-semantics"/>
    <w:p>
      <w:pPr>
        <w:pStyle w:val="Heading3"/>
      </w:pPr>
      <w:r>
        <w:t xml:space="preserve">Public data and class semantics</w:t>
      </w:r>
    </w:p>
    <w:p>
      <w:pPr>
        <w:pStyle w:val="FirstParagraph"/>
      </w:pPr>
      <w:r>
        <w:t xml:space="preserve">Dynamic World V1 provides annual scene-argmax labels and mean top-class probabilities (Brown et al., 2022). The nine Dynamic World labels were crosswalked to six canonical classes: water (source 0), woody vegetation (1), low vegetation (2, 4 and 5), wetland (3), built (6) and bare (7). Source class 8 was excluded. The resulting label is explicitly treated as land cover. No residential, commercial or industrial category is inferred from the raster labels.</w:t>
      </w:r>
    </w:p>
    <w:p>
      <w:pPr>
        <w:pStyle w:val="BodyText"/>
      </w:pPr>
      <w:r>
        <w:t xml:space="preserve">Annual 64-dimensional AlphaEarth embeddings were spatially averaged to the canonical grid and locally L2-normalized. Monthly VIIRS night-time-light radiance was averaged by year. Copernicus DEM supplied elevation and a finite-difference slope derivative. OpenStreetMap road geometries were rasterized into distance-to-road and distance-to-major-road surfaces. ESA WorldCover 2021 supplied public water and wetland/mangrove constraint proxies (Zanaga et al., 2022). All dynamic and static layers were checked for exact CRS, transform, width and height agreement.</w:t>
      </w:r>
    </w:p>
    <w:bookmarkEnd w:id="14"/>
    <w:bookmarkStart w:id="15"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histogram gradient-boosting classifier estimates the six-class probability vector.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confidence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where</w:t>
      </w:r>
      <w:r>
        <w:t xml:space="preserve"> </w:t>
      </w:r>
      <m:oMath>
        <m:r>
          <m:t>r</m:t>
        </m:r>
      </m:oMath>
      <w:r>
        <w:t xml:space="preserve"> </w:t>
      </w:r>
      <w:r>
        <w:t xml:space="preserve">is the Dynamic World mean top probability. The target years 2023 and 2024 are not used during fitting or model selection. Across the three seeds, each fitted model used 71,892–72,202 pixel rows and all six classes.</w:t>
      </w:r>
    </w:p>
    <w:bookmarkEnd w:id="15"/>
    <w:bookmarkStart w:id="16"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6"/>
    <w:bookmarkStart w:id="17" w:name="baselines-and-common-evaluator"/>
    <w:p>
      <w:pPr>
        <w:pStyle w:val="Heading3"/>
      </w:pPr>
      <w:r>
        <w:t xml:space="preserve">Baselines and common evaluator</w:t>
      </w:r>
    </w:p>
    <w:p>
      <w:pPr>
        <w:pStyle w:val="FirstParagraph"/>
      </w:pPr>
      <w:r>
        <w:t xml:space="preserve">GeoSOS-FLUS was run through the external FLUS console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this configuration is recorded as a baseline limitation rather than a calibrated Abu Dhabi model. The supplied Mach-O executable cannot be traced to a reproducible upstream release or source commit, so we do not claim bitwise equivalence to the Liu et al. (2017) FLUS implementation.</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built component counts, built components per 1,000 valid pixels, a 500-m leapfrog rate, distances to roads and prior built cells, infrastructure proxy distance and built retirement. Pareto membership is calculated only over the frozen four-dimensional set of major-road distance, prior-built distance, built-component density and green-cell gain; the remaining quantities are reported as descriptive diagnostics.</w:t>
      </w:r>
    </w:p>
    <w:bookmarkEnd w:id="17"/>
    <w:bookmarkStart w:id="18"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w:t>
      </w:r>
      <w:r>
        <w:t xml:space="preserve"> </w:t>
      </w:r>
      <w:r>
        <w:rPr>
          <w:rStyle w:val="VerbatimChar"/>
        </w:rPr>
        <w:t xml:space="preserve">planning_scenarios_public_2025_2031.json</w:t>
      </w:r>
      <w:r>
        <w:t xml:space="preserve"> </w:t>
      </w:r>
      <w:r>
        <w:t xml:space="preserve">manifest; the legacy</w:t>
      </w:r>
      <w:r>
        <w:t xml:space="preserve"> </w:t>
      </w:r>
      <w:r>
        <w:rPr>
          <w:rStyle w:val="VerbatimChar"/>
        </w:rPr>
        <w:t xml:space="preserve">compact</w:t>
      </w:r>
      <w:r>
        <w:t xml:space="preserve"> </w:t>
      </w:r>
      <w:r>
        <w:t xml:space="preserve">path identifier is retained only for artifact compatibility. Each action supplies feasible class totals for 2025–2031. The 2031 totals are an explicit extension of the previous annual difference and are not derived from an official population, housing or infrastructure forecast. Future exogenous rasters are held at their 2024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w:t>
      </w:r>
    </w:p>
    <w:bookmarkEnd w:id="18"/>
    <w:bookmarkStart w:id="19" w:name="change-polygons-and-reproducibility"/>
    <w:p>
      <w:pPr>
        <w:pStyle w:val="Heading3"/>
      </w:pPr>
      <w:r>
        <w:t xml:space="preserve">Change polygons and reproducibility</w:t>
      </w:r>
    </w:p>
    <w:p>
      <w:pPr>
        <w:pStyle w:val="FirstParagraph"/>
      </w:pPr>
      <w:r>
        <w:t xml:space="preserve">For each model–scenario pair, annual and cumulative differences from the 2024 raster are extracted as changed 100-m cells and dissolved into GeoPackage layers. The public delivery manifest covers 45 ensemble rasters for 2027–2031 and nine vector packages. The audit script reports</w:t>
      </w:r>
      <w:r>
        <w:t xml:space="preserve"> </w:t>
      </w:r>
      <w:r>
        <w:rPr>
          <w:rStyle w:val="VerbatimChar"/>
        </w:rPr>
        <w:t xml:space="preserve">INCOMPLETE_INPUTS</w:t>
      </w:r>
      <w:r>
        <w:t xml:space="preserve"> </w:t>
      </w:r>
      <w:r>
        <w:t xml:space="preserve">or</w:t>
      </w:r>
      <w:r>
        <w:t xml:space="preserve"> </w:t>
      </w:r>
      <w:r>
        <w:rPr>
          <w:rStyle w:val="VerbatimChar"/>
        </w:rPr>
        <w:t xml:space="preserve">FAIL</w:t>
      </w:r>
      <w:r>
        <w:t xml:space="preserve"> </w:t>
      </w:r>
      <w:r>
        <w:t xml:space="preserve">when source rasters, reports or vectors are absent; with the recovered local bundle, the input audit passed all alignment gates (with a Dynamic World label-noise warning) and the output audit passed 276 historical and planning predictions with zero failures. The vector layers preserve raster-cell geometry and should not be interpreted as cadastral parcels.</w:t>
      </w:r>
    </w:p>
    <w:bookmarkEnd w:id="19"/>
    <w:bookmarkEnd w:id="20"/>
    <w:bookmarkStart w:id="25" w:name="results"/>
    <w:p>
      <w:pPr>
        <w:pStyle w:val="Heading2"/>
      </w:pPr>
      <w:r>
        <w:t xml:space="preserve">Results</w:t>
      </w:r>
    </w:p>
    <w:bookmarkStart w:id="21"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After the common coverage and alignment checks, 79,726 cells were used for scoring. Each cell represents 1 ha. Annual Dynamic World observations from 2017 to 2024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GeoSOS-FLUS used seven continuous drivers in its external ANN suitability model, whereas Geospatial Kernel used 25 features including current-class indicators and neighbourhood proportions; GeoFM-LDN used AlphaEarth latent embeddings and the Kernel allocator. We therefore report an unmatched-input pipeline comparison, not evidence that one learner is intrinsically superior. A matched-input FLUS rerun remains necessary for a model-level comparison. The archived FLUS console is a Mach-O arm64 executable whose original source/version cannot be independently rebuilt from this release, so FLUS results are bounded to the supplied Apple-Silicon binary and are not asserted to be bitwise equivalent to an upstream Liu et al. build. All models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bookmarkEnd w:id="21"/>
    <w:bookmarkStart w:id="22" w:name="historical-and-planning-results"/>
    <w:p>
      <w:pPr>
        <w:pStyle w:val="Heading3"/>
      </w:pPr>
      <w:r>
        <w:t xml:space="preserve">Historical and planning results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prespecified controls.</w:t>
      </w:r>
    </w:p>
    <w:p>
      <w:pPr>
        <w:pStyle w:val="BodyText"/>
      </w:pPr>
      <w:r>
        <w:t xml:space="preserve">The planning track starts from the observed 2024 state and applies three</w:t>
      </w:r>
      <w:r>
        <w:t xml:space="preserve"> </w:t>
      </w:r>
      <w:r>
        <w:t xml:space="preserve">synthetic class-count actions through 2031. Before this recompilation, the</w:t>
      </w:r>
      <w:r>
        <w:t xml:space="preserve"> </w:t>
      </w:r>
      <w:r>
        <w:t xml:space="preserve">objective set was frozen to four non-redundant dimensions: mean distance of new</w:t>
      </w:r>
      <w:r>
        <w:t xml:space="preserve"> </w:t>
      </w:r>
      <w:r>
        <w:t xml:space="preserve">built cells to major roads (accessibility proxy), mean distance to pre-existing</w:t>
      </w:r>
      <w:r>
        <w:t xml:space="preserve"> </w:t>
      </w:r>
      <w:r>
        <w:t xml:space="preserve">built cells (compactness proxy), built components per 1,000 valid cells</w:t>
      </w:r>
      <w:r>
        <w:t xml:space="preserve"> </w:t>
      </w:r>
      <w:r>
        <w:t xml:space="preserve">(fragmentation) and green-cell gain (vegetation-balance direction). Ecological</w:t>
      </w:r>
      <w:r>
        <w:t xml:space="preserve"> </w:t>
      </w:r>
      <w:r>
        <w:t xml:space="preserve">conversion, 500-m leapfrog rate, built retirement and demand error remain</w:t>
      </w:r>
      <w:r>
        <w:t xml:space="preserve"> </w:t>
      </w:r>
      <w:r>
        <w:t xml:space="preserve">descriptive diagnostics because the exact-count projection makes some of them</w:t>
      </w:r>
      <w:r>
        <w:t xml:space="preserve"> </w:t>
      </w:r>
      <w:r>
        <w:t xml:space="preserve">structural zeros or unstable across models. No weighted composite score is used.</w:t>
      </w:r>
      <w:r>
        <w:t xml:space="preserve"> </w:t>
      </w:r>
      <w:r>
        <w:t xml:space="preserve">The choice follows a transparent planning logic: accessibility and proximity to</w:t>
      </w:r>
      <w:r>
        <w:t xml:space="preserve"> </w:t>
      </w:r>
      <w:r>
        <w:t xml:space="preserve">existing development represent infrastructure-efficient urban form, component</w:t>
      </w:r>
      <w:r>
        <w:t xml:space="preserve"> </w:t>
      </w:r>
      <w:r>
        <w:t xml:space="preserve">density penalizes spatial fragmentation, and the opposing vegetation-gain</w:t>
      </w:r>
      <w:r>
        <w:t xml:space="preserve"> </w:t>
      </w:r>
      <w:r>
        <w:t xml:space="preserve">direction prevents a compactness-only objective from defining the frontier.</w:t>
      </w:r>
      <w:r>
        <w:t xml:space="preserve"> </w:t>
      </w:r>
      <w:r>
        <w:t xml:space="preserve">These are measurable public-data proxies rather than claims about welfare,</w:t>
      </w:r>
      <w:r>
        <w:t xml:space="preserve"> </w:t>
      </w:r>
      <w:r>
        <w:t xml:space="preserve">equity or statutory zoning.</w:t>
      </w:r>
    </w:p>
    <w:p>
      <w:pPr>
        <w:pStyle w:val="BodyText"/>
      </w:pPr>
      <w:r>
        <w:t xml:space="preserve">The recovered public-data bundle supports a complete re-scoring of the frozen</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GeoSOS-FLUS, Geospatial Kernel and GeoFM-LDN in 2023, and</w:t>
      </w:r>
      <w:r>
        <w:t xml:space="preserve"> </w:t>
      </w:r>
      <w:r>
        <w:t xml:space="preserve">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 Historical allocation scores.</w:t>
      </w:r>
      <w:r>
        <w:t xml:space="preserve"> </w:t>
      </w:r>
      <w:r>
        <w:t xml:space="preserve">Values are means across the three</w:t>
      </w:r>
      <w:r>
        <w:t xml:space="preserve"> </w:t>
      </w:r>
      <w:r>
        <w:t xml:space="preserve">frozen computational seeds; the strict multi-class change FoM is the primary</w:t>
      </w:r>
      <w:r>
        <w:t xml:space="preserve"> </w:t>
      </w:r>
      <w:r>
        <w:t xml:space="preserve">metric and the remaining columns are diagnostics. Persistence and random</w:t>
      </w:r>
      <w:r>
        <w:t xml:space="preserve"> </w:t>
      </w:r>
      <w:r>
        <w:t xml:space="preserve">minimum-change are prespecified controls rather than learned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Target year</w:t>
            </w:r>
          </w:p>
        </w:tc>
        <w:tc>
          <w:tcPr/>
          <w:p>
            <w:pPr>
              <w:pStyle w:val="Compact"/>
              <w:jc w:val="right"/>
            </w:pPr>
            <w:r>
              <w:t xml:space="preserve">GeoSOS-FLUS</w:t>
            </w:r>
          </w:p>
        </w:tc>
        <w:tc>
          <w:tcPr/>
          <w:p>
            <w:pPr>
              <w:pStyle w:val="Compact"/>
              <w:jc w:val="right"/>
            </w:pPr>
            <w:r>
              <w:t xml:space="preserve">Geospatial Kernel</w:t>
            </w:r>
          </w:p>
        </w:tc>
        <w:tc>
          <w:tcPr/>
          <w:p>
            <w:pPr>
              <w:pStyle w:val="Compact"/>
              <w:jc w:val="right"/>
            </w:pPr>
            <w:r>
              <w:t xml:space="preserve">GeoFM-LDN</w:t>
            </w:r>
          </w:p>
        </w:tc>
        <w:tc>
          <w:tcPr/>
          <w:p>
            <w:pPr>
              <w:pStyle w:val="Compact"/>
              <w:jc w:val="right"/>
            </w:pPr>
            <w:r>
              <w:t xml:space="preserve">Persistence</w:t>
            </w:r>
          </w:p>
        </w:tc>
        <w:tc>
          <w:tcPr/>
          <w:p>
            <w:pPr>
              <w:pStyle w:val="Compact"/>
              <w:jc w:val="right"/>
            </w:pPr>
            <w:r>
              <w:t xml:space="preserve">Random minimum-change</w:t>
            </w:r>
          </w:p>
        </w:tc>
      </w:tr>
      <w:tr>
        <w:tc>
          <w:tcPr/>
          <w:p>
            <w:pPr>
              <w:pStyle w:val="Compact"/>
              <w:jc w:val="right"/>
            </w:pPr>
            <w:r>
              <w:t xml:space="preserve">2023 (1-step)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c>
          <w:tcPr/>
          <w:p>
            <w:pPr>
              <w:pStyle w:val="Compact"/>
              <w:jc w:val="right"/>
            </w:pPr>
            <w:r>
              <w:t xml:space="preserve">0.0000</w:t>
            </w:r>
          </w:p>
        </w:tc>
        <w:tc>
          <w:tcPr/>
          <w:p>
            <w:pPr>
              <w:pStyle w:val="Compact"/>
              <w:jc w:val="right"/>
            </w:pPr>
            <w:r>
              <w:t xml:space="preserve">0.0253</w:t>
            </w:r>
          </w:p>
        </w:tc>
      </w:tr>
      <w:tr>
        <w:tc>
          <w:tcPr/>
          <w:p>
            <w:pPr>
              <w:pStyle w:val="Compact"/>
              <w:jc w:val="right"/>
            </w:pPr>
            <w:r>
              <w:t xml:space="preserve">2024 (2-step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c>
          <w:tcPr/>
          <w:p>
            <w:pPr>
              <w:pStyle w:val="Compact"/>
              <w:jc w:val="right"/>
            </w:pPr>
            <w:r>
              <w:t xml:space="preserve">0.0000</w:t>
            </w:r>
          </w:p>
        </w:tc>
        <w:tc>
          <w:tcPr/>
          <w:p>
            <w:pPr>
              <w:pStyle w:val="Compact"/>
              <w:jc w:val="right"/>
            </w:pPr>
            <w:r>
              <w:t xml:space="preserve">0.0605</w:t>
            </w:r>
          </w:p>
        </w:tc>
      </w:tr>
    </w:tbl>
    <w:p>
      <w:pPr>
        <w:pStyle w:val="BodyText"/>
      </w:pPr>
      <w:r>
        <w:t xml:space="preserve">Spatial-block bootstrap model contrasts support these differences. For 2023,</w:t>
      </w:r>
      <w:r>
        <w:t xml:space="preserve"> </w:t>
      </w:r>
      <w:r>
        <w:t xml:space="preserve">Kernel minus FLUS was 0.0703 [0.0558, 0.0866] and GeoFM-LDN minus Kernel was</w:t>
      </w:r>
      <w:r>
        <w:t xml:space="preserve"> </w:t>
      </w:r>
      <w:r>
        <w:t xml:space="preserve">−0.0341 [−0.0479, −0.0209]. For 2024, GeoFM-LDN minus Kernel was 0.0177</w:t>
      </w:r>
      <w:r>
        <w:t xml:space="preserve"> </w:t>
      </w:r>
      <w:r>
        <w:t xml:space="preserve">[0.0033,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Figure 2 shows</w:t>
      </w:r>
      <w:r>
        <w:t xml:space="preserve"> </w:t>
      </w:r>
      <w:r>
        <w:t xml:space="preserve">the four historical metrics alongside the persistence and random minimum-change</w:t>
      </w:r>
      <w:r>
        <w:t xml:space="preserve"> </w:t>
      </w:r>
      <w:r>
        <w:t xml:space="preserve">controls; bars use three-seed population standard deviations, whereas the</w:t>
      </w:r>
      <w:r>
        <w:t xml:space="preserve"> </w:t>
      </w:r>
      <w:r>
        <w:t xml:space="preserve">paired spatial-block intervals above are the uncertainty summaries used for</w:t>
      </w:r>
      <w:r>
        <w:t xml:space="preserve"> </w:t>
      </w:r>
      <w:r>
        <w:t xml:space="preserve">model contrasts.</w:t>
      </w:r>
    </w:p>
    <w:p>
      <w:pPr>
        <w:pStyle w:val="BodyText"/>
      </w:pPr>
      <w:r>
        <w:t xml:space="preserve">The reliability sensitivity is substantially less favourable. Requiring both</w:t>
      </w:r>
      <w:r>
        <w:t xml:space="preserve"> </w:t>
      </w:r>
      <w:r>
        <w:t xml:space="preserve">the origin and target Dynamic World mean top probability to exceed 0.5 leaves</w:t>
      </w:r>
      <w:r>
        <w:t xml:space="preserve"> </w:t>
      </w:r>
      <w:r>
        <w:t xml:space="preserve">strict FoM at 0.000 for all three models in 2023; in 2024 the means are 0.004</w:t>
      </w:r>
      <w:r>
        <w:t xml:space="preserve"> </w:t>
      </w:r>
      <w:r>
        <w:t xml:space="preserve">for GeoSOS-FLUS, 0.005 for Geospatial Kernel and 0.019 for GeoFM-LDN. This is</w:t>
      </w:r>
      <w:r>
        <w:t xml:space="preserve"> </w:t>
      </w:r>
      <w:r>
        <w:t xml:space="preserve">a label-quality diagnostic, not an independent validation set. Dynamic World</w:t>
      </w:r>
      <w:r>
        <w:t xml:space="preserve"> </w:t>
      </w:r>
      <w:r>
        <w:t xml:space="preserve">also reports built pixels increasing from 9,359 in 2022 to 15,598 in 2024</w:t>
      </w:r>
      <w:r>
        <w:t xml:space="preserve"> </w:t>
      </w:r>
      <w:r>
        <w:t xml:space="preserve">(67%), while the median one-year reversion fraction is 0.3611 and the mean</w:t>
      </w:r>
      <w:r>
        <w:t xml:space="preserve"> </w:t>
      </w:r>
      <w:r>
        <w:t xml:space="preserve">fraction of cells below confidence 0.5 is 0.5497. Test-year change counts are</w:t>
      </w:r>
      <w:r>
        <w:t xml:space="preserve"> </w:t>
      </w:r>
      <w:r>
        <w:t xml:space="preserve">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p>
      <w:pPr>
        <w:pStyle w:val="BodyText"/>
      </w:pPr>
      <w:r>
        <w:t xml:space="preserve">The planning compiler evaluated all nine model–scenario candidates under the</w:t>
      </w:r>
      <w:r>
        <w:t xml:space="preserve"> </w:t>
      </w:r>
      <w:r>
        <w:t xml:space="preserve">frozen balanced objective set. Six candidates—each GeoSOS-FLUS scenario and</w:t>
      </w:r>
      <w:r>
        <w:t xml:space="preserve"> </w:t>
      </w:r>
      <w:r>
        <w:t xml:space="preserve">each Geospatial Kernel scenario—were non-dominated; no GeoFM-LDN candidate was</w:t>
      </w:r>
      <w:r>
        <w:t xml:space="preserve"> </w:t>
      </w:r>
      <w:r>
        <w:t xml:space="preserve">on this conditional frontier. The result should not be read as a model ranking:</w:t>
      </w:r>
      <w:r>
        <w:t xml:space="preserve"> </w:t>
      </w:r>
      <w:r>
        <w:t xml:space="preserve">the frontier is sensitive to public proxy layers, synthetic actions and the</w:t>
      </w:r>
      <w:r>
        <w:t xml:space="preserve"> </w:t>
      </w:r>
      <w:r>
        <w:t xml:space="preserve">declared directions. Geospatial Kernel had lower mean distances to roads and</w:t>
      </w:r>
      <w:r>
        <w:t xml:space="preserve"> </w:t>
      </w:r>
      <w:r>
        <w:t xml:space="preserve">prior built cells than the other candidates, but its built-component density was</w:t>
      </w:r>
      <w:r>
        <w:t xml:space="preserve"> </w:t>
      </w:r>
      <w:r>
        <w:t xml:space="preserve">2.92–4.28 per 1,000 valid cells, compared with 0.92–1.23 for GeoSOS-FLUS and</w:t>
      </w:r>
      <w:r>
        <w:t xml:space="preserve"> </w:t>
      </w:r>
      <w:r>
        <w:t xml:space="preserve">3.21–4.35 for GeoFM-LDN. This fragmentation disadvantage is retained rather</w:t>
      </w:r>
      <w:r>
        <w:t xml:space="preserve"> </w:t>
      </w:r>
      <w:r>
        <w:t xml:space="preserve">than hidden by the objective set (Fig. 3). The 2031 majority-vote ensemble L1 demand</w:t>
      </w:r>
      <w:r>
        <w:t xml:space="preserve"> </w:t>
      </w:r>
      <w:r>
        <w:t xml:space="preserve">errors were 8, 44 and 42 pixels for Geospatial Kernel’s moderate, green-priority</w:t>
      </w:r>
      <w:r>
        <w:t xml:space="preserve"> </w:t>
      </w:r>
      <w:r>
        <w:t xml:space="preserve">and high-outward scenarios, respectively; the corresponding GeoFM-LDN errors</w:t>
      </w:r>
      <w:r>
        <w:t xml:space="preserve"> </w:t>
      </w:r>
      <w:r>
        <w:t xml:space="preserve">were 1,580, 1,524 and 1,148 pixels and GeoSOS-FLUS errors were 2,504, 2,888</w:t>
      </w:r>
      <w:r>
        <w:t xml:space="preserve"> </w:t>
      </w:r>
      <w:r>
        <w:t xml:space="preserve">and 2,568 pixels. Seed-level projections meet their feasible class totals, but</w:t>
      </w:r>
      <w:r>
        <w:t xml:space="preserve"> </w:t>
      </w:r>
      <w:r>
        <w:t xml:space="preserve">majority voting can produce a different raster and therefore a non-zero ensemble</w:t>
      </w:r>
      <w:r>
        <w:t xml:space="preserve"> </w:t>
      </w:r>
      <w:r>
        <w:t xml:space="preserve">error. All 276 historical and planning prediction records passed the raster</w:t>
      </w:r>
      <w:r>
        <w:t xml:space="preserve"> </w:t>
      </w:r>
      <w:r>
        <w:t xml:space="preserve">audit, including grid alignment, class validity, outside-mask cleanliness and</w:t>
      </w:r>
      <w:r>
        <w:t xml:space="preserve"> </w:t>
      </w:r>
      <w:r>
        <w:t xml:space="preserve">hard-exclusion checks. The resulting 2031 ensemble rasters and their dissolved</w:t>
      </w:r>
      <w:r>
        <w:t xml:space="preserve"> </w:t>
      </w:r>
      <w:r>
        <w:t xml:space="preserve">cell-change footprints are shown in Fig. 5; they are scenario-conditioned</w:t>
      </w:r>
      <w:r>
        <w:t xml:space="preserve"> </w:t>
      </w:r>
      <w:r>
        <w:t xml:space="preserve">land-cover maps, not parcel boundaries or statutory zoning maps.</w:t>
      </w:r>
    </w:p>
    <w:bookmarkEnd w:id="22"/>
    <w:bookmarkStart w:id="23"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Figure 4A shows the proposal controls, while Fig. 4B–D reports runtime and planning controls.</w:t>
      </w:r>
    </w:p>
    <w:bookmarkEnd w:id="23"/>
    <w:bookmarkStart w:id="24"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0.114 in 2023 and 0.171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bookmarkEnd w:id="24"/>
    <w:bookmarkEnd w:id="25"/>
    <w:bookmarkStart w:id="26" w:name="discussion"/>
    <w:p>
      <w:pPr>
        <w:pStyle w:val="Heading2"/>
      </w:pPr>
      <w:r>
        <w:t xml:space="preserve">Discussion</w:t>
      </w:r>
    </w:p>
    <w:p>
      <w:pPr>
        <w:pStyle w:val="FirstParagraph"/>
      </w:pPr>
      <w:r>
        <w:t xml:space="preserve">This study positions Geospatial Kernel as a candidate execution layer for constrained spatial reasoning. The defensible contribution is that a transition proposal and a planning admission rule can be represented and inspected separately. Under the unmatched public-data pipeline, Geospatial Kernel has the largest strict transition FoM at the one-step horizon, while GeoFM-LDN has the largest value after recursive two-step rollout. We therefore avoid a universal superiority claim and treat the planning frontier as conditional on the frozen public-data proxy objectives.</w:t>
      </w:r>
    </w:p>
    <w:p>
      <w:pPr>
        <w:pStyle w:val="BodyText"/>
      </w:pPr>
      <w:r>
        <w:t xml:space="preserve">The proposed mechanism is explicit: the score compares the learned probability of a target class with that of the current class and adds local support from the target-class neighbourhood. The projection then resolves deficits and excesses while refusing mutable changes inside the hard mask. This can preserve existing built cells when demand is non-decreasing, but that outcome is a structural consequence of the projection and should not be interpreted as evidence of redevelopment realism. The balanced objective set makes a different trade-off visible: the Kernel is compact and road-accessible but has substantially higher built-component density than FLUS. Allocator-matched controls are required before attributing morphology to the learned proposal.</w:t>
      </w:r>
    </w:p>
    <w:p>
      <w:pPr>
        <w:pStyle w:val="BodyText"/>
      </w:pPr>
      <w:r>
        <w:t xml:space="preserve">Several limitations define the boundary of the present evidence. The six classes are remote-sensing land cover, not statutory residential, commercial or industrial land use. Dynamic World labels show substantial annual uncertainty and apparent turnover, and the public road, wetland and protected-area layers are proxies rather than Abu Dhabi planning records. Future drivers are frozen at 2024, no independent 2023–2024 change product is available and no observed 2025–2031 labels exist for validation. The scenario targets are synthetic planner-supplied actions; the green-priority action is not an irrigation or water-budget model. FLUS remains an unmatched Apple-Silicon binary baseline, and the three-seed summaries quantify computational variation rather than population-level uncertainty. The completed controls are public-data stress tests with matched seeds rather than randomized interventions on real planning decisions, and several variants alter more than one implementation detail at a time. We therefore report them as evidence consistent with the execution contract rather than as causal attribution or a validated Abu Dhabi forecast.</w:t>
      </w:r>
    </w:p>
    <w:p>
      <w:pPr>
        <w:pStyle w:val="BodyText"/>
      </w:pPr>
      <w:r>
        <w:t xml:space="preserve">These limitations also indicate a practical path to deployment. An authoritative version would replace the Dynamic World class raster with a locally validated land-use/land-cover crosswalk, replace public proxy masks with statutory water, ecological, airport, port and growth-boundary layers, and supply approved development demand and infrastructure capacities. The Kernel contract can remain unchanged while those domain inputs are upgraded. This separation is useful for governance: a new data source changes the evidence attached to a transition, rather than silently changing the meaning of the execution trace.</w:t>
      </w:r>
    </w:p>
    <w:bookmarkEnd w:id="26"/>
    <w:bookmarkStart w:id="27"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in the accompanying repository. The main evidence files are:</w:t>
      </w:r>
    </w:p>
    <w:p>
      <w:pPr>
        <w:pStyle w:val="Compact"/>
        <w:numPr>
          <w:ilvl w:val="0"/>
          <w:numId w:val="1002"/>
        </w:numPr>
      </w:pPr>
      <w:r>
        <w:rPr>
          <w:rStyle w:val="VerbatimChar"/>
        </w:rPr>
        <w:t xml:space="preserve">comparison_report_current.json</w:t>
      </w:r>
      <w:r>
        <w:t xml:space="preserve"> </w:t>
      </w:r>
      <w:r>
        <w:t xml:space="preserve">and</w:t>
      </w:r>
      <w:r>
        <w:t xml:space="preserve"> </w:t>
      </w:r>
      <w:r>
        <w:rPr>
          <w:rStyle w:val="VerbatimChar"/>
        </w:rPr>
        <w:t xml:space="preserve">comparison_report_current.md</w:t>
      </w:r>
      <w:r>
        <w:t xml:space="preserve"> </w:t>
      </w:r>
      <w:r>
        <w:t xml:space="preserve">for historical metrics when a data-complete rerun is available;</w:t>
      </w:r>
    </w:p>
    <w:p>
      <w:pPr>
        <w:pStyle w:val="Compact"/>
        <w:numPr>
          <w:ilvl w:val="0"/>
          <w:numId w:val="1002"/>
        </w:numPr>
      </w:pPr>
      <w:r>
        <w:rPr>
          <w:rStyle w:val="VerbatimChar"/>
        </w:rPr>
        <w:t xml:space="preserve">planning_comparison_report_public_2025_2031_current.json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planning_scenario_report_public_2025_2031_current.json</w:t>
      </w:r>
      <w:r>
        <w:t xml:space="preserve"> </w:t>
      </w:r>
      <w:r>
        <w:t xml:space="preserve">for per-seed rollout traces;</w:t>
      </w:r>
    </w:p>
    <w:p>
      <w:pPr>
        <w:pStyle w:val="Compact"/>
        <w:numPr>
          <w:ilvl w:val="0"/>
          <w:numId w:val="1002"/>
        </w:numPr>
      </w:pPr>
      <w:r>
        <w:rPr>
          <w:rStyle w:val="VerbatimChar"/>
        </w:rPr>
        <w:t xml:space="preserve">planning_public_2025_2031_delivery_manifest_current.json</w:t>
      </w:r>
      <w:r>
        <w:t xml:space="preserve"> </w:t>
      </w:r>
      <w:r>
        <w:t xml:space="preserve">for raster and vector delivery;</w:t>
      </w:r>
    </w:p>
    <w:p>
      <w:pPr>
        <w:pStyle w:val="Compact"/>
        <w:numPr>
          <w:ilvl w:val="0"/>
          <w:numId w:val="1002"/>
        </w:numPr>
      </w:pPr>
      <w:r>
        <w:rPr>
          <w:rStyle w:val="VerbatimChar"/>
        </w:rPr>
        <w:t xml:space="preserve">output_audit_reproducible.json</w:t>
      </w:r>
      <w:r>
        <w:t xml:space="preserve"> </w:t>
      </w:r>
      <w:r>
        <w:t xml:space="preserve">for the current raster audit, with</w:t>
      </w:r>
      <w:r>
        <w:t xml:space="preserve"> </w:t>
      </w:r>
      <w:r>
        <w:rPr>
          <w:rStyle w:val="VerbatimChar"/>
        </w:rPr>
        <w:t xml:space="preserve">output_audit.json</w:t>
      </w:r>
      <w:r>
        <w:t xml:space="preserve"> </w:t>
      </w:r>
      <w:r>
        <w:t xml:space="preserve">retained only as legacy lineage;</w:t>
      </w:r>
    </w:p>
    <w:p>
      <w:pPr>
        <w:pStyle w:val="Compact"/>
        <w:numPr>
          <w:ilvl w:val="0"/>
          <w:numId w:val="1002"/>
        </w:numPr>
      </w:pPr>
      <w:r>
        <w:rPr>
          <w:rStyle w:val="VerbatimChar"/>
        </w:rPr>
        <w:t xml:space="preserve">data_audit.json</w:t>
      </w:r>
      <w:r>
        <w:t xml:space="preserve">,</w:t>
      </w:r>
      <w:r>
        <w:t xml:space="preserve"> </w:t>
      </w:r>
      <w:r>
        <w:rPr>
          <w:rStyle w:val="VerbatimChar"/>
        </w:rPr>
        <w:t xml:space="preserve">protocol.json</w:t>
      </w:r>
      <w:r>
        <w:t xml:space="preserve">,</w:t>
      </w:r>
      <w:r>
        <w:t xml:space="preserve"> </w:t>
      </w:r>
      <w:r>
        <w:rPr>
          <w:rStyle w:val="VerbatimChar"/>
        </w:rPr>
        <w:t xml:space="preserve">gee_input_manifest.json</w:t>
      </w:r>
      <w:r>
        <w:t xml:space="preserve"> </w:t>
      </w:r>
      <w:r>
        <w:t xml:space="preserve">and</w:t>
      </w:r>
      <w:r>
        <w:t xml:space="preserve"> </w:t>
      </w:r>
      <w:r>
        <w:rPr>
          <w:rStyle w:val="VerbatimChar"/>
        </w:rPr>
        <w:t xml:space="preserve">osm_input_manifest.json</w:t>
      </w:r>
      <w:r>
        <w:t xml:space="preserve"> </w:t>
      </w:r>
      <w:r>
        <w:t xml:space="preserve">for data provenance;</w:t>
      </w:r>
    </w:p>
    <w:p>
      <w:pPr>
        <w:pStyle w:val="Compact"/>
        <w:numPr>
          <w:ilvl w:val="0"/>
          <w:numId w:val="1002"/>
        </w:numPr>
      </w:pPr>
      <w:r>
        <w:t xml:space="preserve">The released bundle includes the aligned 2017–2024 public rasters, historical seed and ensemble prediction rasters, 2025–2031 planning seed and ensemble rasters, nine GeoPackages of dissolved change footprints, the mechanism-ablation report, model checkpoints, and the SHA-256 manifest. Text hashes use canonical LF line endings so that a Windows checkout with</w:t>
      </w:r>
      <w:r>
        <w:t xml:space="preserve"> </w:t>
      </w:r>
      <w:r>
        <w:rPr>
          <w:rStyle w:val="VerbatimChar"/>
        </w:rPr>
        <w:t xml:space="preserve">core.autocrlf=true</w:t>
      </w:r>
      <w:r>
        <w:t xml:space="preserve"> </w:t>
      </w:r>
      <w:r>
        <w:t xml:space="preserve">verifies identically. No private database address, credential or client-only service is included. Authoritative Abu Dhabi land-use and independent change-validation data remain outside this study.</w:t>
      </w:r>
    </w:p>
    <w:bookmarkEnd w:id="27"/>
    <w:bookmarkStart w:id="28" w:name="code-availability"/>
    <w:p>
      <w:pPr>
        <w:pStyle w:val="Heading2"/>
      </w:pPr>
      <w:r>
        <w:t xml:space="preserve">Code availability</w:t>
      </w:r>
    </w:p>
    <w:p>
      <w:pPr>
        <w:pStyle w:val="FirstParagraph"/>
      </w:pPr>
      <w:r>
        <w:t xml:space="preserve">The analysis scripts, a vendored Geospatial Kernel runtime snapshot, benchmark protocol, model runners and figure-generation code are maintained in the accompanying repository. Principal entry points are listed separately to keep the manuscript readable:</w:t>
      </w:r>
    </w:p>
    <w:p>
      <w:pPr>
        <w:pStyle w:val="Compact"/>
        <w:numPr>
          <w:ilvl w:val="0"/>
          <w:numId w:val="1003"/>
        </w:numPr>
      </w:pPr>
      <w:r>
        <w:rPr>
          <w:rStyle w:val="VerbatimChar"/>
        </w:rPr>
        <w:t xml:space="preserve">run_geospatial_kernel.py</w:t>
      </w:r>
      <w:r>
        <w:t xml:space="preserve"> </w:t>
      </w:r>
      <w:r>
        <w:t xml:space="preserve">for the Kernel historical run;</w:t>
      </w:r>
    </w:p>
    <w:p>
      <w:pPr>
        <w:pStyle w:val="Compact"/>
        <w:numPr>
          <w:ilvl w:val="0"/>
          <w:numId w:val="1003"/>
        </w:numPr>
      </w:pPr>
      <w:r>
        <w:rPr>
          <w:rStyle w:val="VerbatimChar"/>
        </w:rPr>
        <w:t xml:space="preserve">data_agent/uwm/geospatial_kernel/runtime.py</w:t>
      </w:r>
      <w:r>
        <w:t xml:space="preserve"> </w:t>
      </w:r>
      <w:r>
        <w:t xml:space="preserve">for the vendored runtime snapshot;</w:t>
      </w:r>
    </w:p>
    <w:p>
      <w:pPr>
        <w:pStyle w:val="Compact"/>
        <w:numPr>
          <w:ilvl w:val="0"/>
          <w:numId w:val="1003"/>
        </w:numPr>
      </w:pPr>
      <w:r>
        <w:rPr>
          <w:rStyle w:val="VerbatimChar"/>
        </w:rPr>
        <w:t xml:space="preserve">render_nature_figures.py</w:t>
      </w:r>
      <w:r>
        <w:t xml:space="preserve"> </w:t>
      </w:r>
      <w:r>
        <w:t xml:space="preserve">for publication artwork.</w:t>
      </w:r>
    </w:p>
    <w:p>
      <w:pPr>
        <w:pStyle w:val="Compact"/>
        <w:numPr>
          <w:ilvl w:val="0"/>
          <w:numId w:val="1003"/>
        </w:numPr>
      </w:pPr>
      <w:r>
        <w:rPr>
          <w:rStyle w:val="VerbatimChar"/>
        </w:rPr>
        <w:t xml:space="preserve">reproducibility/reproduce.py</w:t>
      </w:r>
      <w:r>
        <w:t xml:space="preserve"> </w:t>
      </w:r>
      <w:r>
        <w:t xml:space="preserve">for the end-to-end rerun;</w:t>
      </w:r>
    </w:p>
    <w:p>
      <w:pPr>
        <w:pStyle w:val="Compact"/>
        <w:numPr>
          <w:ilvl w:val="0"/>
          <w:numId w:val="1003"/>
        </w:numPr>
      </w:pPr>
      <w:r>
        <w:rPr>
          <w:rStyle w:val="VerbatimChar"/>
        </w:rPr>
        <w:t xml:space="preserve">reproducibility_check.py</w:t>
      </w:r>
      <w:r>
        <w:t xml:space="preserve"> </w:t>
      </w:r>
      <w:r>
        <w:t xml:space="preserve">and</w:t>
      </w:r>
      <w:r>
        <w:t xml:space="preserve"> </w:t>
      </w:r>
      <w:r>
        <w:rPr>
          <w:rStyle w:val="VerbatimChar"/>
        </w:rPr>
        <w:t xml:space="preserve">audit_outputs.py</w:t>
      </w:r>
      <w:r>
        <w:t xml:space="preserve"> </w:t>
      </w:r>
      <w:r>
        <w:t xml:space="preserve">for fail-closed integrity checks.</w:t>
      </w:r>
    </w:p>
    <w:p>
      <w:pPr>
        <w:pStyle w:val="FirstParagraph"/>
      </w:pPr>
      <w:r>
        <w:t xml:space="preserve">GeoFM-LDN source and the three fixed checkpoints are included under</w:t>
      </w:r>
      <w:r>
        <w:t xml:space="preserve"> </w:t>
      </w:r>
      <w:r>
        <w:rPr>
          <w:rStyle w:val="VerbatimChar"/>
        </w:rPr>
        <w:t xml:space="preserve">benchmarks/abu_dhabi_land_use_v1/external/</w:t>
      </w:r>
      <w:r>
        <w:t xml:space="preserve"> </w:t>
      </w:r>
      <w:r>
        <w:t xml:space="preserve">and</w:t>
      </w:r>
      <w:r>
        <w:t xml:space="preserve"> </w:t>
      </w:r>
      <w:r>
        <w:rPr>
          <w:rStyle w:val="VerbatimChar"/>
        </w:rPr>
        <w:t xml:space="preserve">artifacts/predictions/</w:t>
      </w:r>
      <w:r>
        <w:t xml:space="preserve">.</w:t>
      </w:r>
      <w:r>
        <w:t xml:space="preserve"> </w:t>
      </w:r>
      <w:r>
        <w:t xml:space="preserve">The vendored FLUS executable is a macOS arm64 binary; Linux and Windows users</w:t>
      </w:r>
      <w:r>
        <w:t xml:space="preserve"> </w:t>
      </w:r>
      <w:r>
        <w:t xml:space="preserve">can reproduce the Kernel and GeoFM-LDN tracks, but must provide a compatible</w:t>
      </w:r>
      <w:r>
        <w:t xml:space="preserve"> </w:t>
      </w:r>
      <w:r>
        <w:t xml:space="preserve">FLUS build or treat that baseline as unavailable. The repository is intended to</w:t>
      </w:r>
      <w:r>
        <w:t xml:space="preserve"> </w:t>
      </w:r>
      <w:r>
        <w:t xml:space="preserve">be public; an archival DOI and the corresponding-author e-mail should be added</w:t>
      </w:r>
      <w:r>
        <w:t xml:space="preserve"> </w:t>
      </w:r>
      <w:r>
        <w:t xml:space="preserve">to the submission metadata.</w:t>
      </w:r>
    </w:p>
    <w:bookmarkEnd w:id="28"/>
    <w:bookmarkStart w:id="29"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Ning Zhou is employed by Beijing Freedo Technology Co., Ltd., which develops geospatial-world-model software. The author declares no other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None.</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bookmarkEnd w:id="29"/>
    <w:bookmarkStart w:id="30"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et al.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Gorelick, N., et al.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et al. (2021). A patch-generating land use simulation model integrating multisource data for urban growth simulation.</w:t>
      </w:r>
      <w:r>
        <w:t xml:space="preserve"> </w:t>
      </w:r>
      <w:r>
        <w:rPr>
          <w:i/>
          <w:iCs/>
        </w:rPr>
        <w:t xml:space="preserve">Landscape and Urban Planning</w:t>
      </w:r>
      <w:r>
        <w:t xml:space="preserve">, 214, 104157. https://doi.org/10.1016/j.landurbplan.2021.104157</w:t>
      </w:r>
    </w:p>
    <w:p>
      <w:pPr>
        <w:pStyle w:val="BodyText"/>
      </w:pPr>
      <w:r>
        <w:t xml:space="preserve">Liu, X., et al.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OpenStreetMap contributors. (2026). OpenStreetMap data, Abu Dhabi relation R4479763 and Geofabrik GCC extract, accessed 31 July 2026. https://www.openstreetmap.org</w:t>
      </w:r>
    </w:p>
    <w:p>
      <w:pPr>
        <w:pStyle w:val="BodyText"/>
      </w:pPr>
      <w:r>
        <w:t xml:space="preserve">Pontius, R. G., Jr., Boersma, W., Castella, J.-C., et al. (2008). Comparing the input, output, and validation maps for several models of land change.</w:t>
      </w:r>
      <w:r>
        <w:t xml:space="preserve"> </w:t>
      </w:r>
      <w:r>
        <w:rPr>
          <w:i/>
          <w:iCs/>
        </w:rPr>
        <w:t xml:space="preserve">The Annals of Regional Science</w:t>
      </w:r>
      <w:r>
        <w:t xml:space="preserve">, 42, 11–37. DOI: 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DOI: 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https://doi.org/10.1016/S0198-9715(01)00017-8</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Rietveld, P., &amp; Verburg, P. H. (2011). Modeling land-use change with cellular automata: Issues and recommendations.</w:t>
      </w:r>
      <w:r>
        <w:t xml:space="preserve"> </w:t>
      </w:r>
      <w:r>
        <w:rPr>
          <w:i/>
          <w:iCs/>
        </w:rPr>
        <w:t xml:space="preserve">Journal of Land Use Science</w:t>
      </w:r>
      <w:r>
        <w:t xml:space="preserve">, 6, 247–265. https://doi.org/10.1080/1747423X.2011.562018</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et al. (2002). Modeling the spatial dynamics of regional land use: the CLUE-S model.</w:t>
      </w:r>
      <w:r>
        <w:t xml:space="preserve"> </w:t>
      </w:r>
      <w:r>
        <w:rPr>
          <w:i/>
          <w:iCs/>
        </w:rPr>
        <w:t xml:space="preserve">Environmental Management</w:t>
      </w:r>
      <w:r>
        <w:t xml:space="preserve">, 30, 391–405. https://doi.org/10.1007/s00267-002-2631-x</w:t>
      </w:r>
    </w:p>
    <w:p>
      <w:pPr>
        <w:pStyle w:val="BodyText"/>
      </w:pPr>
      <w:r>
        <w:t xml:space="preserve">Zanaga, D., et al. (2022). ESA WorldCover 10 m 2021 v200. Zenodo. https://doi.org/10.5281/zenodo.7254221</w:t>
      </w:r>
    </w:p>
    <w:bookmarkEnd w:id="30"/>
    <w:bookmarkStart w:id="46" w:name="figure-legends"/>
    <w:p>
      <w:pPr>
        <w:pStyle w:val="Heading2"/>
      </w:pPr>
      <w:r>
        <w:t xml:space="preserve">Figure legends</w:t>
      </w:r>
    </w:p>
    <w:p>
      <w:pPr>
        <w:pStyle w:val="CaptionedFigure"/>
      </w:pPr>
      <w:r>
        <w:drawing>
          <wp:inline>
            <wp:extent cx="5334000" cy="3384822"/>
            <wp:effectExtent b="0" l="0" r="0" t="0"/>
            <wp:docPr descr="Figure 1: benchmark and execution contract" title="" id="32" name="Picture"/>
            <a:graphic>
              <a:graphicData uri="http://schemas.openxmlformats.org/drawingml/2006/picture">
                <pic:pic>
                  <pic:nvPicPr>
                    <pic:cNvPr descr="figures/fig01_benchmark_contract.png" id="33" name="Picture"/>
                    <pic:cNvPicPr>
                      <a:picLocks noChangeArrowheads="1" noChangeAspect="1"/>
                    </pic:cNvPicPr>
                  </pic:nvPicPr>
                  <pic:blipFill>
                    <a:blip r:embed="rId31"/>
                    <a:stretch>
                      <a:fillRect/>
                    </a:stretch>
                  </pic:blipFill>
                  <pic:spPr bwMode="auto">
                    <a:xfrm>
                      <a:off x="0" y="0"/>
                      <a:ext cx="5334000" cy="3384822"/>
                    </a:xfrm>
                    <a:prstGeom prst="rect">
                      <a:avLst/>
                    </a:prstGeom>
                    <a:noFill/>
                    <a:ln w="9525">
                      <a:noFill/>
                      <a:headEnd/>
                      <a:tailEnd/>
                    </a:ln>
                  </pic:spPr>
                </pic:pic>
              </a:graphicData>
            </a:graphic>
          </wp:inline>
        </w:drawing>
      </w:r>
    </w:p>
    <w:p>
      <w:pPr>
        <w:pStyle w:val="ImageCaption"/>
      </w:pPr>
      <w:r>
        <w:t xml:space="preserve">Figure 1: benchmark and execution contract</w:t>
      </w:r>
    </w:p>
    <w:p>
      <w:pPr>
        <w:pStyle w:val="BodyText"/>
      </w:pPr>
      <w:r>
        <w:rPr>
          <w:b/>
          <w:bCs/>
        </w:rPr>
        <w:t xml:space="preserve">Figure 1 | Benchmark and Geospatial Kernel execution contract.</w:t>
      </w:r>
      <w:r>
        <w:t xml:space="preserve"> </w:t>
      </w:r>
      <w:r>
        <w:t xml:space="preserve">Public annual land-cover, embedding, night-light, terrain and road layers are aligned to a common 100-m Abu Dhabi grid. Each model receives the same state, action and public proxy exclusions. The Geospatial Kernel exposes a learned proposal, constraint projection and state writeback. Historical, open-loop and planning tracks use one audit contract. The schematic does not imply statutory planning boundaries.</w:t>
      </w:r>
    </w:p>
    <w:p>
      <w:pPr>
        <w:pStyle w:val="CaptionedFigure"/>
      </w:pPr>
      <w:r>
        <w:drawing>
          <wp:inline>
            <wp:extent cx="5334000" cy="3538245"/>
            <wp:effectExtent b="0" l="0" r="0" t="0"/>
            <wp:docPr descr="Figure 2: historical allocation skill" title="" id="35" name="Picture"/>
            <a:graphic>
              <a:graphicData uri="http://schemas.openxmlformats.org/drawingml/2006/picture">
                <pic:pic>
                  <pic:nvPicPr>
                    <pic:cNvPr descr="figures/fig02_historical_validation.png" id="36" name="Picture"/>
                    <pic:cNvPicPr>
                      <a:picLocks noChangeArrowheads="1" noChangeAspect="1"/>
                    </pic:cNvPicPr>
                  </pic:nvPicPr>
                  <pic:blipFill>
                    <a:blip r:embed="rId34"/>
                    <a:stretch>
                      <a:fillRect/>
                    </a:stretch>
                  </pic:blipFill>
                  <pic:spPr bwMode="auto">
                    <a:xfrm>
                      <a:off x="0" y="0"/>
                      <a:ext cx="5334000" cy="3538245"/>
                    </a:xfrm>
                    <a:prstGeom prst="rect">
                      <a:avLst/>
                    </a:prstGeom>
                    <a:noFill/>
                    <a:ln w="9525">
                      <a:noFill/>
                      <a:headEnd/>
                      <a:tailEnd/>
                    </a:ln>
                  </pic:spPr>
                </pic:pic>
              </a:graphicData>
            </a:graphic>
          </wp:inline>
        </w:drawing>
      </w:r>
    </w:p>
    <w:p>
      <w:pPr>
        <w:pStyle w:val="ImageCaption"/>
      </w:pPr>
      <w:r>
        <w:t xml:space="preserve">Figure 2: historical allocation skill</w:t>
      </w:r>
    </w:p>
    <w:p>
      <w:pPr>
        <w:pStyle w:val="BodyText"/>
      </w:pPr>
      <w:r>
        <w:rPr>
          <w:b/>
          <w:bCs/>
        </w:rPr>
        <w:t xml:space="preserve">Figure 2 | Historical allocation skill.</w:t>
      </w:r>
      <w:r>
        <w:t xml:space="preserve"> </w:t>
      </w:r>
      <w:r>
        <w:t xml:space="preserve">Bars show the revised strict</w:t>
      </w:r>
      <w:r>
        <w:t xml:space="preserve"> </w:t>
      </w:r>
      <w:r>
        <w:t xml:space="preserve">multi-class FoM, change F1, overall accuracy and macro-F1 for the 2023 one-step</w:t>
      </w:r>
      <w:r>
        <w:t xml:space="preserve"> </w:t>
      </w:r>
      <w:r>
        <w:t xml:space="preserve">and 2024 two-step open-loop tests, with persistence and random minimum-change</w:t>
      </w:r>
      <w:r>
        <w:t xml:space="preserve"> </w:t>
      </w:r>
      <w:r>
        <w:t xml:space="preserve">controls. Error bars show population standard deviation across the three frozen</w:t>
      </w:r>
      <w:r>
        <w:t xml:space="preserve"> </w:t>
      </w:r>
      <w:r>
        <w:t xml:space="preserve">seeds; paired spatial-block intervals are reported in the machine-readable</w:t>
      </w:r>
      <w:r>
        <w:t xml:space="preserve"> </w:t>
      </w:r>
      <w:r>
        <w:t xml:space="preserve">comparison report.</w:t>
      </w:r>
    </w:p>
    <w:p>
      <w:pPr>
        <w:pStyle w:val="CaptionedFigure"/>
      </w:pPr>
      <w:r>
        <w:drawing>
          <wp:inline>
            <wp:extent cx="5334000" cy="3496076"/>
            <wp:effectExtent b="0" l="0" r="0" t="0"/>
            <wp:docPr descr="Figure 3: conditional planning objectives" title="" id="38" name="Picture"/>
            <a:graphic>
              <a:graphicData uri="http://schemas.openxmlformats.org/drawingml/2006/picture">
                <pic:pic>
                  <pic:nvPicPr>
                    <pic:cNvPr descr="figures/fig03_planning_objectives.png" id="39" name="Picture"/>
                    <pic:cNvPicPr>
                      <a:picLocks noChangeArrowheads="1" noChangeAspect="1"/>
                    </pic:cNvPicPr>
                  </pic:nvPicPr>
                  <pic:blipFill>
                    <a:blip r:embed="rId37"/>
                    <a:stretch>
                      <a:fillRect/>
                    </a:stretch>
                  </pic:blipFill>
                  <pic:spPr bwMode="auto">
                    <a:xfrm>
                      <a:off x="0" y="0"/>
                      <a:ext cx="5334000" cy="3496076"/>
                    </a:xfrm>
                    <a:prstGeom prst="rect">
                      <a:avLst/>
                    </a:prstGeom>
                    <a:noFill/>
                    <a:ln w="9525">
                      <a:noFill/>
                      <a:headEnd/>
                      <a:tailEnd/>
                    </a:ln>
                  </pic:spPr>
                </pic:pic>
              </a:graphicData>
            </a:graphic>
          </wp:inline>
        </w:drawing>
      </w:r>
    </w:p>
    <w:p>
      <w:pPr>
        <w:pStyle w:val="ImageCaption"/>
      </w:pPr>
      <w:r>
        <w:t xml:space="preserve">Figure 3: conditional planning objectives</w:t>
      </w:r>
    </w:p>
    <w:p>
      <w:pPr>
        <w:pStyle w:val="BodyText"/>
      </w:pPr>
      <w:r>
        <w:rPr>
          <w:b/>
          <w:bCs/>
        </w:rPr>
        <w:t xml:space="preserve">Figure 3 | Conditional planning objectives and morphology diagnostics.</w:t>
      </w:r>
      <w:r>
        <w:t xml:space="preserve"> </w:t>
      </w:r>
      <w:r>
        <w:t xml:space="preserve">The</w:t>
      </w:r>
      <w:r>
        <w:t xml:space="preserve"> </w:t>
      </w:r>
      <w:r>
        <w:t xml:space="preserve">2031 outcomes compare the three models under moderate-growth, green-priority-</w:t>
      </w:r>
      <w:r>
        <w:t xml:space="preserve"> </w:t>
      </w:r>
      <w:r>
        <w:t xml:space="preserve">growth and high-outward-growth actions. Panels A–D are the frozen Pareto</w:t>
      </w:r>
      <w:r>
        <w:t xml:space="preserve"> </w:t>
      </w:r>
      <w:r>
        <w:t xml:space="preserve">objectives: distance to major roads, distance to prior built cells, built</w:t>
      </w:r>
      <w:r>
        <w:t xml:space="preserve"> </w:t>
      </w:r>
      <w:r>
        <w:t xml:space="preserve">components per 1,000 valid cells and vegetation gain. Panels E–F are</w:t>
      </w:r>
      <w:r>
        <w:t xml:space="preserve"> </w:t>
      </w:r>
      <w:r>
        <w:t xml:space="preserve">descriptive diagnostics (ecological conversion and 500-m leapfrog rate). Stars</w:t>
      </w:r>
      <w:r>
        <w:t xml:space="preserve"> </w:t>
      </w:r>
      <w:r>
        <w:t xml:space="preserve">mark non-dominated candidates under the four-objective set; bars show means ±</w:t>
      </w:r>
      <w:r>
        <w:t xml:space="preserve"> </w:t>
      </w:r>
      <w:r>
        <w:t xml:space="preserve">population SD across three seeds.</w:t>
      </w:r>
    </w:p>
    <w:p>
      <w:pPr>
        <w:pStyle w:val="CaptionedFigure"/>
      </w:pPr>
      <w:r>
        <w:drawing>
          <wp:inline>
            <wp:extent cx="5334000" cy="3704556"/>
            <wp:effectExtent b="0" l="0" r="0" t="0"/>
            <wp:docPr descr="Figure 4: mechanism controls" title="" id="41" name="Picture"/>
            <a:graphic>
              <a:graphicData uri="http://schemas.openxmlformats.org/drawingml/2006/picture">
                <pic:pic>
                  <pic:nvPicPr>
                    <pic:cNvPr descr="figures/fig04_mechanism_ablation.png" id="42" name="Picture"/>
                    <pic:cNvPicPr>
                      <a:picLocks noChangeArrowheads="1" noChangeAspect="1"/>
                    </pic:cNvPicPr>
                  </pic:nvPicPr>
                  <pic:blipFill>
                    <a:blip r:embed="rId40"/>
                    <a:stretch>
                      <a:fillRect/>
                    </a:stretch>
                  </pic:blipFill>
                  <pic:spPr bwMode="auto">
                    <a:xfrm>
                      <a:off x="0" y="0"/>
                      <a:ext cx="5334000" cy="3704556"/>
                    </a:xfrm>
                    <a:prstGeom prst="rect">
                      <a:avLst/>
                    </a:prstGeom>
                    <a:noFill/>
                    <a:ln w="9525">
                      <a:noFill/>
                      <a:headEnd/>
                      <a:tailEnd/>
                    </a:ln>
                  </pic:spPr>
                </pic:pic>
              </a:graphicData>
            </a:graphic>
          </wp:inline>
        </w:drawing>
      </w:r>
    </w:p>
    <w:p>
      <w:pPr>
        <w:pStyle w:val="ImageCaption"/>
      </w:pPr>
      <w:r>
        <w:t xml:space="preserve">Figure 4: mechanism controls</w:t>
      </w:r>
    </w:p>
    <w:p>
      <w:pPr>
        <w:pStyle w:val="BodyText"/>
      </w:pPr>
      <w:r>
        <w:rPr>
          <w:b/>
          <w:bCs/>
        </w:rPr>
        <w:t xml:space="preserve">Figure 4 | Mechanism controls.</w:t>
      </w:r>
      <w:r>
        <w:t xml:space="preserve"> </w:t>
      </w:r>
      <w:r>
        <w:t xml:space="preserve">Proposal, allocator, action, constraint and</w:t>
      </w:r>
      <w:r>
        <w:t xml:space="preserve"> </w:t>
      </w:r>
      <w:r>
        <w:t xml:space="preserve">writeback controls are compared under the same public-data protocol. Deleting</w:t>
      </w:r>
      <w:r>
        <w:t xml:space="preserve"> </w:t>
      </w:r>
      <w:r>
        <w:t xml:space="preserve">the action lowers historical strict FoM, whereas deleting the hard constraint</w:t>
      </w:r>
      <w:r>
        <w:t xml:space="preserve"> </w:t>
      </w:r>
      <w:r>
        <w:t xml:space="preserve">raises agreement with noisy labels while violating the planning contract.</w:t>
      </w:r>
      <w:r>
        <w:t xml:space="preserve"> </w:t>
      </w:r>
      <w:r>
        <w:t xml:space="preserve">These are diagnostic ablations, not causal policy experiments.</w:t>
      </w:r>
    </w:p>
    <w:p>
      <w:pPr>
        <w:pStyle w:val="CaptionedFigure"/>
      </w:pPr>
      <w:r>
        <w:drawing>
          <wp:inline>
            <wp:extent cx="5334000" cy="5254821"/>
            <wp:effectExtent b="0" l="0" r="0" t="0"/>
            <wp:docPr descr="Figure 5: 2031 spatial footprints" title="" id="44" name="Picture"/>
            <a:graphic>
              <a:graphicData uri="http://schemas.openxmlformats.org/drawingml/2006/picture">
                <pic:pic>
                  <pic:nvPicPr>
                    <pic:cNvPr descr="figures/fig05_planning_maps_2031.png" id="45" name="Picture"/>
                    <pic:cNvPicPr>
                      <a:picLocks noChangeArrowheads="1" noChangeAspect="1"/>
                    </pic:cNvPicPr>
                  </pic:nvPicPr>
                  <pic:blipFill>
                    <a:blip r:embed="rId43"/>
                    <a:stretch>
                      <a:fillRect/>
                    </a:stretch>
                  </pic:blipFill>
                  <pic:spPr bwMode="auto">
                    <a:xfrm>
                      <a:off x="0" y="0"/>
                      <a:ext cx="5334000" cy="5254821"/>
                    </a:xfrm>
                    <a:prstGeom prst="rect">
                      <a:avLst/>
                    </a:prstGeom>
                    <a:noFill/>
                    <a:ln w="9525">
                      <a:noFill/>
                      <a:headEnd/>
                      <a:tailEnd/>
                    </a:ln>
                  </pic:spPr>
                </pic:pic>
              </a:graphicData>
            </a:graphic>
          </wp:inline>
        </w:drawing>
      </w:r>
    </w:p>
    <w:p>
      <w:pPr>
        <w:pStyle w:val="ImageCaption"/>
      </w:pPr>
      <w:r>
        <w:t xml:space="preserve">Figure 5: 2031 spatial footprints</w:t>
      </w:r>
    </w:p>
    <w:p>
      <w:pPr>
        <w:pStyle w:val="BodyText"/>
      </w:pPr>
      <w:r>
        <w:rPr>
          <w:b/>
          <w:bCs/>
        </w:rPr>
        <w:t xml:space="preserve">Figure 5 | 2031 spatial footprints.</w:t>
      </w:r>
      <w:r>
        <w:t xml:space="preserve"> </w:t>
      </w:r>
      <w:r>
        <w:t xml:space="preserve">Each panel is a 100-m ensemble raster</w:t>
      </w:r>
      <w:r>
        <w:t xml:space="preserve"> </w:t>
      </w:r>
      <w:r>
        <w:t xml:space="preserve">relative to the observed 2024 state. Overlays identify newly built, newly low-</w:t>
      </w:r>
      <w:r>
        <w:t xml:space="preserve"> </w:t>
      </w:r>
      <w:r>
        <w:t xml:space="preserve">vegetated and retired-built cells; they are raster-cell change footprints, not</w:t>
      </w:r>
      <w:r>
        <w:t xml:space="preserve"> </w:t>
      </w:r>
      <w:r>
        <w:t xml:space="preserve">cadastral parcels.</w:t>
      </w:r>
    </w:p>
    <w:bookmarkEnd w:id="46"/>
    <w:bookmarkStart w:id="47" w:name="supplementary-information-outline"/>
    <w:p>
      <w:pPr>
        <w:pStyle w:val="Heading2"/>
      </w:pPr>
      <w:r>
        <w:t xml:space="preserve">Supplementary information outline</w:t>
      </w:r>
    </w:p>
    <w:p>
      <w:pPr>
        <w:pStyle w:val="Compact"/>
        <w:numPr>
          <w:ilvl w:val="0"/>
          <w:numId w:val="1004"/>
        </w:numPr>
      </w:pPr>
      <w:r>
        <w:rPr>
          <w:b/>
          <w:bCs/>
        </w:rPr>
        <w:t xml:space="preserve">Supplementary Note 1:</w:t>
      </w:r>
      <w:r>
        <w:t xml:space="preserve"> </w:t>
      </w:r>
      <w:r>
        <w:t xml:space="preserve">Complete data crosswalk, quality metrics and public/proxy status.</w:t>
      </w:r>
    </w:p>
    <w:p>
      <w:pPr>
        <w:pStyle w:val="Compact"/>
        <w:numPr>
          <w:ilvl w:val="0"/>
          <w:numId w:val="1004"/>
        </w:numPr>
      </w:pPr>
      <w:r>
        <w:rPr>
          <w:b/>
          <w:bCs/>
        </w:rPr>
        <w:t xml:space="preserve">Supplementary Note 2:</w:t>
      </w:r>
      <w:r>
        <w:t xml:space="preserve"> </w:t>
      </w:r>
      <w:r>
        <w:t xml:space="preserve">Kernel runtime schemas, audit fields and adapter boundary.</w:t>
      </w:r>
    </w:p>
    <w:p>
      <w:pPr>
        <w:pStyle w:val="Compact"/>
        <w:numPr>
          <w:ilvl w:val="0"/>
          <w:numId w:val="1004"/>
        </w:numPr>
      </w:pPr>
      <w:r>
        <w:rPr>
          <w:b/>
          <w:bCs/>
        </w:rPr>
        <w:t xml:space="preserve">Supplementary Table S1:</w:t>
      </w:r>
      <w:r>
        <w:t xml:space="preserve"> </w:t>
      </w:r>
      <w:r>
        <w:t xml:space="preserve">Full 2025–2031 model–scenario objective matrix with per-seed values.</w:t>
      </w:r>
    </w:p>
    <w:p>
      <w:pPr>
        <w:pStyle w:val="Compact"/>
        <w:numPr>
          <w:ilvl w:val="0"/>
          <w:numId w:val="1004"/>
        </w:numPr>
      </w:pPr>
      <w:r>
        <w:rPr>
          <w:b/>
          <w:bCs/>
        </w:rPr>
        <w:t xml:space="preserve">Supplementary Table S2:</w:t>
      </w:r>
      <w:r>
        <w:t xml:space="preserve"> </w:t>
      </w:r>
      <w:r>
        <w:t xml:space="preserve">Neighbourhood-weight sensitivity at 0, 0.175, 0.35 and 0.7.</w:t>
      </w:r>
    </w:p>
    <w:p>
      <w:pPr>
        <w:pStyle w:val="Compact"/>
        <w:numPr>
          <w:ilvl w:val="0"/>
          <w:numId w:val="1004"/>
        </w:numPr>
      </w:pPr>
      <w:r>
        <w:rPr>
          <w:b/>
          <w:bCs/>
        </w:rPr>
        <w:t xml:space="preserve">Supplementary Table S3:</w:t>
      </w:r>
      <w:r>
        <w:t xml:space="preserve"> </w:t>
      </w:r>
      <w:r>
        <w:t xml:space="preserve">Raster and vector delivery audit, hashes and layer counts.</w:t>
      </w:r>
    </w:p>
    <w:p>
      <w:pPr>
        <w:pStyle w:val="Compact"/>
        <w:numPr>
          <w:ilvl w:val="0"/>
          <w:numId w:val="1004"/>
        </w:numPr>
      </w:pPr>
      <w:r>
        <w:rPr>
          <w:b/>
          <w:bCs/>
        </w:rPr>
        <w:t xml:space="preserve">Supplementary Figure S1:</w:t>
      </w:r>
      <w:r>
        <w:t xml:space="preserve"> </w:t>
      </w:r>
      <w:r>
        <w:t xml:space="preserve">Dynamic World confidence and high-confidence change sensitivity.</w:t>
      </w:r>
    </w:p>
    <w:p>
      <w:pPr>
        <w:pStyle w:val="Compact"/>
        <w:numPr>
          <w:ilvl w:val="0"/>
          <w:numId w:val="1004"/>
        </w:numPr>
      </w:pPr>
      <w:r>
        <w:rPr>
          <w:b/>
          <w:bCs/>
        </w:rPr>
        <w:t xml:space="preserve">Supplementary Figure S2:</w:t>
      </w:r>
      <w:r>
        <w:t xml:space="preserve"> </w:t>
      </w:r>
      <w:r>
        <w:t xml:space="preserve">Historical maps and change-error maps for 2024.</w:t>
      </w:r>
    </w:p>
    <w:p>
      <w:pPr>
        <w:pStyle w:val="Compact"/>
        <w:numPr>
          <w:ilvl w:val="0"/>
          <w:numId w:val="1004"/>
        </w:numPr>
      </w:pPr>
      <w:r>
        <w:rPr>
          <w:b/>
          <w:bCs/>
        </w:rPr>
        <w:t xml:space="preserve">Supplementary Figure S3:</w:t>
      </w:r>
      <w:r>
        <w:t xml:space="preserve"> </w:t>
      </w:r>
      <w:r>
        <w:t xml:space="preserve">Driver layers and experiment design in English.</w:t>
      </w:r>
    </w:p>
    <w:p>
      <w:r>
        <w:pict>
          <v:rect style="width:0;height:1.5pt" o:hralign="center" o:hrstd="t" o:hr="t"/>
        </w:pic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2026-09-05T11:57:41Z</dcterms:created>
  <dcterms:modified xsi:type="dcterms:W3CDTF">2026-09-05T11:57:41Z</dcterms:modified>
</cp:coreProperties>
</file>

<file path=docProps/custom.xml><?xml version="1.0" encoding="utf-8"?>
<Properties xmlns="http://schemas.openxmlformats.org/officeDocument/2006/custom-properties" xmlns:vt="http://schemas.openxmlformats.org/officeDocument/2006/docPropsVTypes"/>
</file>