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a792ae9d4bbdc58e2d9589266a4679e28954073"/>
    <w:p>
      <w:pPr>
        <w:pStyle w:val="Heading1"/>
      </w:pPr>
      <w:r>
        <w:t xml:space="preserve">Geospatial Kernel: a state–action–constraint core for urban land-cover planning</w:t>
      </w:r>
    </w:p>
    <w:p>
      <w:pPr>
        <w:pStyle w:val="FirstParagraph"/>
      </w:pPr>
      <w:r>
        <w:rPr>
          <w:b/>
          <w:bCs/>
        </w:rPr>
        <w:t xml:space="preserve">An Abu Dhabi benchmark with conditional multi-year scenario analysis</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rPr>
          <w:b/>
          <w:bCs/>
        </w:rPr>
        <w:t xml:space="preserve">Manuscript status:</w:t>
      </w:r>
      <w:r>
        <w:t xml:space="preserve"> </w:t>
      </w:r>
      <w:r>
        <w:t xml:space="preserve">Nature-style research-article draft based on the public-data Abu Dhabi Land-Use Benchmark V1. This document is not an official Abu Dhabi planning forecast.</w:t>
      </w:r>
    </w:p>
    <w:bookmarkStart w:id="9" w:name="abstract"/>
    <w:p>
      <w:pPr>
        <w:pStyle w:val="Heading2"/>
      </w:pPr>
      <w:r>
        <w:t xml:space="preserve">Abstract</w:t>
      </w:r>
    </w:p>
    <w:p>
      <w:pPr>
        <w:pStyle w:val="FirstParagraph"/>
      </w:pPr>
      <w:r>
        <w:t xml:space="preserve">Urban land-change models are used to test how development demand could be distributed across space. Their practical value depends on more than pixel-level classification: a planning model must respond to explicit actions, preserve hard exclusions and carry its state into the next simulated year. Here we study Geospatial Kernel, the algorithmic core of a Geospatial World Model, as a state–action–constraint transition system for urban land-cover planning. We evaluate it against GeoSOS-FLUS and Paper58 on a common Abu Dhabi benchmark of annual public land-cover products from 2017 to 2024, a 100-m grid and three random seeds. In conditional historical allocation tests, Geospatial Kernel achieved the highest change Figure of Merit (FoM) for 2023 (0.2004, compared with 0.1283 for GeoSOS-FLUS and 0.1670 for Paper58), whereas Paper58 achieved the highest FoM for the two-step 2024 open-loop target (0.2778, compared with 0.2606 for Geospatial Kernel). This horizon dependence argues against a universal model ranking. In planner-supplied 2025–2031 stress tests, Geospatial Kernel met class-count actions, preserved hard exclusions and placed all three scenarios on the Pareto frontier under frozen public-data objectives. At 2031, new built cells had neighbourhood compactness of 0.833–0.855 and mean distances of 323–365 m to major roads and 111–140 m to pre-existing built cells. These results support Geospatial Kernel as an auditable allocation core for conditional planning experiments. They do not establish legal land use, policy causality or Abu Dhabi's actual future because the benchmark uses noisy public labels, proxy constraints, frozen drivers and synthetic actions.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constraint projection.</w:t>
      </w:r>
    </w:p>
    <w:p>
      <w:pPr>
        <w:pStyle w:val="Compact"/>
        <w:numPr>
          <w:ilvl w:val="0"/>
          <w:numId w:val="1001"/>
        </w:numPr>
      </w:pPr>
      <w:r>
        <w:t xml:space="preserve">One-step allocation favoured Kernel; two-step open-loop skill favoured Paper58.</w:t>
      </w:r>
    </w:p>
    <w:p>
      <w:pPr>
        <w:pStyle w:val="Compact"/>
        <w:numPr>
          <w:ilvl w:val="0"/>
          <w:numId w:val="1001"/>
        </w:numPr>
      </w:pPr>
      <w:r>
        <w:t xml:space="preserve">Kernel met scenario class totals and retained all declared hard exclusions.</w:t>
      </w:r>
    </w:p>
    <w:p>
      <w:pPr>
        <w:pStyle w:val="Compact"/>
        <w:numPr>
          <w:ilvl w:val="0"/>
          <w:numId w:val="1001"/>
        </w:numPr>
      </w:pPr>
      <w:r>
        <w:t xml:space="preserve">Public-data maps are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summary-paragraph-for-nonspecialists"/>
    <w:p>
      <w:pPr>
        <w:pStyle w:val="Heading2"/>
      </w:pPr>
      <w:r>
        <w:t xml:space="preserve">Summary paragraph for nonspecialists</w:t>
      </w:r>
    </w:p>
    <w:p>
      <w:pPr>
        <w:pStyle w:val="FirstParagraph"/>
      </w:pPr>
      <w:r>
        <w:t xml:space="preserve">Cities change through many small decisions: where new buildings are permitted, which open areas are protected and how new development connects to existing infrastructure. A useful spatial model therefore has to keep track of both the current map and the action that is being tested. It must also refuse allocations that violate protected areas or the requested amount of each land-cover class. Existing models often combine these tasks in a single simulation step, which makes it difficult to audit why a cell changed or to reproduce a multi-year rollout. Here we examine Geospatial Kernel, the state–action–constraint core of a Geospatial World Model, in Abu Dhabi using public satellite-derived land-cover products and open road data. The Kernel was not the best model at every historical horizon, but it produced exact, constraint-preserving allocations and more compact, road-accessible planning patterns under three controlled growth scenarios. The resulting maps and change polygons are useful as transparent stress tests. They should not be read as official land-use forecasts until authoritative local land-use, planning and infrastructure data are available.</w:t>
      </w:r>
    </w:p>
    <w:bookmarkEnd w:id="12"/>
    <w:bookmarkStart w:id="13"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and the FLUS family is a prominent example of a model that combines a suitability surface with neighbourhood-based allocation [1]. Global Earth-observation products now make it possible to construct annual, spatially aligned inputs for cities that lack a harmonized local data archive [2,3].</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Paper58 can represent continuous geospatial state and condition transitions on demand, whereas traditional ANN-plus-cellular-automata systems such as GeoSOS-FLUS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compact growth, ecological priority and outward growth. We ask four questions: whether the Kernel execution contract is auditable, whether its allocation skill is competitive, whether it produces preferable feasible planning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reports a fair, multi-horizon comparison with GeoSOS-FLUS and Paper58, including a case in which the Kernel does not win. Third, it turns the future maps into explicit stress-test artefacts, including cumulative rasters and vectorized transition footprints, while preserving the distinction between public-data land cover and authoritative legal land use.</w:t>
      </w:r>
    </w:p>
    <w:bookmarkEnd w:id="13"/>
    <w:bookmarkStart w:id="20" w:name="results"/>
    <w:p>
      <w:pPr>
        <w:pStyle w:val="Heading2"/>
      </w:pPr>
      <w:r>
        <w:t xml:space="preserve">Results</w:t>
      </w:r>
    </w:p>
    <w:bookmarkStart w:id="14"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was designed so that differences in model output could not be attributed to different grids or target totals. GeoSOS-FLUS received the same continuous drivers and used an external ANN suitability model followed by cellular-automata allocation. Paper58 used demand-conditioned latent dynamics on the annual AlphaEarth embeddings, a semantic decoder and the constrained allocation interface. Geospatial Kernel used the same target action records and hard masks, but separated a learned per-cell transition proposal from a runtime constraint projection. All models were run with seeds 31, 47 and 73. The output audit accepted 240 prediction rasters, including 54 planning ensembles and 162 planning seed rasters, with no grid, class or hard-constraint failures.</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14"/>
    <w:bookmarkStart w:id="15" w:name="X642833753dbfd641a6c3ca537934a1ef652473f"/>
    <w:p>
      <w:pPr>
        <w:pStyle w:val="Heading3"/>
      </w:pPr>
      <w:r>
        <w:t xml:space="preserve">Historical performance is competitive but horizon-dependent</w:t>
      </w:r>
    </w:p>
    <w:p>
      <w:pPr>
        <w:pStyle w:val="FirstParagraph"/>
      </w:pPr>
      <w:r>
        <w:t xml:space="preserve">The historical track used observed target class totals. This choice removes one source of uncertainty, demand estimation, and tests how each model allocates the requested changes in space. The primary metric was change FoM, which measures the overlap between observed and simulated changes while accounting for false alarms and misses [4]. Change F1, overall accuracy and macro-F1 were secondary metrics. Values below are means with population standard deviations over the three seeds.</w:t>
      </w:r>
    </w:p>
    <w:p>
      <w:pPr>
        <w:pStyle w:val="BodyText"/>
      </w:pPr>
      <w:r>
        <w:rPr>
          <w:b/>
          <w:bCs/>
        </w:rPr>
        <w:t xml:space="preserve">Table 1 | Historical conditional allocation performance.</w:t>
      </w:r>
      <w:r>
        <w:t xml:space="preserve"> </w:t>
      </w:r>
      <w:r>
        <w:t xml:space="preserve">The 2023 target is a one-step prediction from 2022. The 2024 target is reached by a two-step open-loop rollout from 2022 without observed-state writeback. Values are mean ± population SD across three seeds; DTV is normalized demand total variation.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Year</w:t>
            </w:r>
          </w:p>
        </w:tc>
        <w:tc>
          <w:tcPr/>
          <w:p>
            <w:pPr>
              <w:pStyle w:val="Compact"/>
            </w:pPr>
            <w:r>
              <w:t xml:space="preserve">Method</w:t>
            </w:r>
          </w:p>
        </w:tc>
        <w:tc>
          <w:tcPr/>
          <w:p>
            <w:pPr>
              <w:pStyle w:val="Compact"/>
              <w:jc w:val="right"/>
            </w:pPr>
            <w:r>
              <w:t xml:space="preserve">Change FoM</w:t>
            </w:r>
          </w:p>
        </w:tc>
        <w:tc>
          <w:tcPr/>
          <w:p>
            <w:pPr>
              <w:pStyle w:val="Compact"/>
              <w:jc w:val="right"/>
            </w:pPr>
            <w:r>
              <w:t xml:space="preserve">Change F1</w:t>
            </w:r>
          </w:p>
        </w:tc>
        <w:tc>
          <w:tcPr/>
          <w:p>
            <w:pPr>
              <w:pStyle w:val="Compact"/>
              <w:jc w:val="right"/>
            </w:pPr>
            <w:r>
              <w:t xml:space="preserve">Overall acc.</w:t>
            </w:r>
          </w:p>
        </w:tc>
        <w:tc>
          <w:tcPr/>
          <w:p>
            <w:pPr>
              <w:pStyle w:val="Compact"/>
              <w:jc w:val="right"/>
            </w:pPr>
            <w:r>
              <w:t xml:space="preserve">Macro-F1</w:t>
            </w:r>
          </w:p>
        </w:tc>
        <w:tc>
          <w:tcPr/>
          <w:p>
            <w:pPr>
              <w:pStyle w:val="Compact"/>
              <w:jc w:val="right"/>
            </w:pPr>
            <w:r>
              <w:t xml:space="preserve">DTV</w:t>
            </w:r>
          </w:p>
        </w:tc>
      </w:tr>
      <w:tr>
        <w:tc>
          <w:tcPr/>
          <w:p>
            <w:pPr>
              <w:pStyle w:val="Compact"/>
              <w:jc w:val="right"/>
            </w:pPr>
            <w:r>
              <w:t xml:space="preserve">2023</w:t>
            </w:r>
          </w:p>
        </w:tc>
        <w:tc>
          <w:tcPr/>
          <w:p>
            <w:pPr>
              <w:pStyle w:val="Compact"/>
            </w:pPr>
            <w:r>
              <w:t xml:space="preserve">GeoSOS-FLUS</w:t>
            </w:r>
          </w:p>
        </w:tc>
        <w:tc>
          <w:tcPr/>
          <w:p>
            <w:pPr>
              <w:pStyle w:val="Compact"/>
              <w:jc w:val="right"/>
            </w:pPr>
            <w:r>
              <w:t xml:space="preserve">0.1283 ± 0.0043</w:t>
            </w:r>
          </w:p>
        </w:tc>
        <w:tc>
          <w:tcPr/>
          <w:p>
            <w:pPr>
              <w:pStyle w:val="Compact"/>
              <w:jc w:val="right"/>
            </w:pPr>
            <w:r>
              <w:t xml:space="preserve">0.2273 ± 0.0068</w:t>
            </w:r>
          </w:p>
        </w:tc>
        <w:tc>
          <w:tcPr/>
          <w:p>
            <w:pPr>
              <w:pStyle w:val="Compact"/>
              <w:jc w:val="right"/>
            </w:pPr>
            <w:r>
              <w:t xml:space="preserve">0.9183 ± 0.0008</w:t>
            </w:r>
          </w:p>
        </w:tc>
        <w:tc>
          <w:tcPr/>
          <w:p>
            <w:pPr>
              <w:pStyle w:val="Compact"/>
              <w:jc w:val="right"/>
            </w:pPr>
            <w:r>
              <w:t xml:space="preserve">0.8441 ± 0.0034</w:t>
            </w:r>
          </w:p>
        </w:tc>
        <w:tc>
          <w:tcPr/>
          <w:p>
            <w:pPr>
              <w:pStyle w:val="Compact"/>
              <w:jc w:val="right"/>
            </w:pPr>
            <w:r>
              <w:t xml:space="preserve">0.002835</w:t>
            </w:r>
          </w:p>
        </w:tc>
      </w:tr>
      <w:tr>
        <w:tc>
          <w:tcPr/>
          <w:p>
            <w:pPr>
              <w:pStyle w:val="Compact"/>
              <w:jc w:val="right"/>
            </w:pPr>
            <w:r>
              <w:t xml:space="preserve">2023</w:t>
            </w:r>
          </w:p>
        </w:tc>
        <w:tc>
          <w:tcPr/>
          <w:p>
            <w:pPr>
              <w:pStyle w:val="Compact"/>
            </w:pPr>
            <w:r>
              <w:t xml:space="preserve">Geospatial Kernel</w:t>
            </w:r>
          </w:p>
        </w:tc>
        <w:tc>
          <w:tcPr/>
          <w:p>
            <w:pPr>
              <w:pStyle w:val="Compact"/>
              <w:jc w:val="right"/>
            </w:pPr>
            <w:r>
              <w:rPr>
                <w:b/>
                <w:bCs/>
              </w:rPr>
              <w:t xml:space="preserve">0.2004 ± 0.0018</w:t>
            </w:r>
          </w:p>
        </w:tc>
        <w:tc>
          <w:tcPr/>
          <w:p>
            <w:pPr>
              <w:pStyle w:val="Compact"/>
              <w:jc w:val="right"/>
            </w:pPr>
            <w:r>
              <w:rPr>
                <w:b/>
                <w:bCs/>
              </w:rPr>
              <w:t xml:space="preserve">0.3338 ± 0.0026</w:t>
            </w:r>
          </w:p>
        </w:tc>
        <w:tc>
          <w:tcPr/>
          <w:p>
            <w:pPr>
              <w:pStyle w:val="Compact"/>
              <w:jc w:val="right"/>
            </w:pPr>
            <w:r>
              <w:rPr>
                <w:b/>
                <w:bCs/>
              </w:rPr>
              <w:t xml:space="preserve">0.9362 ± 0.0002</w:t>
            </w:r>
          </w:p>
        </w:tc>
        <w:tc>
          <w:tcPr/>
          <w:p>
            <w:pPr>
              <w:pStyle w:val="Compact"/>
              <w:jc w:val="right"/>
            </w:pPr>
            <w:r>
              <w:rPr>
                <w:b/>
                <w:bCs/>
              </w:rPr>
              <w:t xml:space="preserve">0.8499 ± 0.0003</w:t>
            </w:r>
          </w:p>
        </w:tc>
        <w:tc>
          <w:tcPr/>
          <w:p>
            <w:pPr>
              <w:pStyle w:val="Compact"/>
              <w:jc w:val="right"/>
            </w:pPr>
            <w:r>
              <w:t xml:space="preserve">0.000000</w:t>
            </w:r>
          </w:p>
        </w:tc>
      </w:tr>
      <w:tr>
        <w:tc>
          <w:tcPr/>
          <w:p>
            <w:pPr>
              <w:pStyle w:val="Compact"/>
              <w:jc w:val="right"/>
            </w:pPr>
            <w:r>
              <w:t xml:space="preserve">2023</w:t>
            </w:r>
          </w:p>
        </w:tc>
        <w:tc>
          <w:tcPr/>
          <w:p>
            <w:pPr>
              <w:pStyle w:val="Compact"/>
            </w:pPr>
            <w:r>
              <w:t xml:space="preserve">Paper58</w:t>
            </w:r>
          </w:p>
        </w:tc>
        <w:tc>
          <w:tcPr/>
          <w:p>
            <w:pPr>
              <w:pStyle w:val="Compact"/>
              <w:jc w:val="right"/>
            </w:pPr>
            <w:r>
              <w:t xml:space="preserve">0.1670 ± 0.0039</w:t>
            </w:r>
          </w:p>
        </w:tc>
        <w:tc>
          <w:tcPr/>
          <w:p>
            <w:pPr>
              <w:pStyle w:val="Compact"/>
              <w:jc w:val="right"/>
            </w:pPr>
            <w:r>
              <w:t xml:space="preserve">0.2862 ± 0.0058</w:t>
            </w:r>
          </w:p>
        </w:tc>
        <w:tc>
          <w:tcPr/>
          <w:p>
            <w:pPr>
              <w:pStyle w:val="Compact"/>
              <w:jc w:val="right"/>
            </w:pPr>
            <w:r>
              <w:t xml:space="preserve">0.9316 ± 0.0005</w:t>
            </w:r>
          </w:p>
        </w:tc>
        <w:tc>
          <w:tcPr/>
          <w:p>
            <w:pPr>
              <w:pStyle w:val="Compact"/>
              <w:jc w:val="right"/>
            </w:pPr>
            <w:r>
              <w:t xml:space="preserve">0.8457 ± 0.0006</w:t>
            </w:r>
          </w:p>
        </w:tc>
        <w:tc>
          <w:tcPr/>
          <w:p>
            <w:pPr>
              <w:pStyle w:val="Compact"/>
              <w:jc w:val="right"/>
            </w:pPr>
            <w:r>
              <w:t xml:space="preserve">0.000000</w:t>
            </w:r>
          </w:p>
        </w:tc>
      </w:tr>
      <w:tr>
        <w:tc>
          <w:tcPr/>
          <w:p>
            <w:pPr>
              <w:pStyle w:val="Compact"/>
              <w:jc w:val="right"/>
            </w:pPr>
            <w:r>
              <w:t xml:space="preserve">2024</w:t>
            </w:r>
          </w:p>
        </w:tc>
        <w:tc>
          <w:tcPr/>
          <w:p>
            <w:pPr>
              <w:pStyle w:val="Compact"/>
            </w:pPr>
            <w:r>
              <w:t xml:space="preserve">GeoSOS-FLUS</w:t>
            </w:r>
          </w:p>
        </w:tc>
        <w:tc>
          <w:tcPr/>
          <w:p>
            <w:pPr>
              <w:pStyle w:val="Compact"/>
              <w:jc w:val="right"/>
            </w:pPr>
            <w:r>
              <w:t xml:space="preserve">0.1815 ± 0.0125</w:t>
            </w:r>
          </w:p>
        </w:tc>
        <w:tc>
          <w:tcPr/>
          <w:p>
            <w:pPr>
              <w:pStyle w:val="Compact"/>
              <w:jc w:val="right"/>
            </w:pPr>
            <w:r>
              <w:t xml:space="preserve">0.3071 ± 0.0180</w:t>
            </w:r>
          </w:p>
        </w:tc>
        <w:tc>
          <w:tcPr/>
          <w:p>
            <w:pPr>
              <w:pStyle w:val="Compact"/>
              <w:jc w:val="right"/>
            </w:pPr>
            <w:r>
              <w:t xml:space="preserve">0.8595 ± 0.0030</w:t>
            </w:r>
          </w:p>
        </w:tc>
        <w:tc>
          <w:tcPr/>
          <w:p>
            <w:pPr>
              <w:pStyle w:val="Compact"/>
              <w:jc w:val="right"/>
            </w:pPr>
            <w:r>
              <w:t xml:space="preserve">0.7483 ± 0.0062</w:t>
            </w:r>
          </w:p>
        </w:tc>
        <w:tc>
          <w:tcPr/>
          <w:p>
            <w:pPr>
              <w:pStyle w:val="Compact"/>
              <w:jc w:val="right"/>
            </w:pPr>
            <w:r>
              <w:t xml:space="preserve">0.005381</w:t>
            </w:r>
          </w:p>
        </w:tc>
      </w:tr>
      <w:tr>
        <w:tc>
          <w:tcPr/>
          <w:p>
            <w:pPr>
              <w:pStyle w:val="Compact"/>
              <w:jc w:val="right"/>
            </w:pPr>
            <w:r>
              <w:t xml:space="preserve">2024</w:t>
            </w:r>
          </w:p>
        </w:tc>
        <w:tc>
          <w:tcPr/>
          <w:p>
            <w:pPr>
              <w:pStyle w:val="Compact"/>
            </w:pPr>
            <w:r>
              <w:t xml:space="preserve">Geospatial Kernel</w:t>
            </w:r>
          </w:p>
        </w:tc>
        <w:tc>
          <w:tcPr/>
          <w:p>
            <w:pPr>
              <w:pStyle w:val="Compact"/>
              <w:jc w:val="right"/>
            </w:pPr>
            <w:r>
              <w:t xml:space="preserve">0.2606 ± 0.0006</w:t>
            </w:r>
          </w:p>
        </w:tc>
        <w:tc>
          <w:tcPr/>
          <w:p>
            <w:pPr>
              <w:pStyle w:val="Compact"/>
              <w:jc w:val="right"/>
            </w:pPr>
            <w:r>
              <w:t xml:space="preserve">0.4134 ± 0.0008</w:t>
            </w:r>
          </w:p>
        </w:tc>
        <w:tc>
          <w:tcPr/>
          <w:p>
            <w:pPr>
              <w:pStyle w:val="Compact"/>
              <w:jc w:val="right"/>
            </w:pPr>
            <w:r>
              <w:t xml:space="preserve">0.8863 ± 0.0002</w:t>
            </w:r>
          </w:p>
        </w:tc>
        <w:tc>
          <w:tcPr/>
          <w:p>
            <w:pPr>
              <w:pStyle w:val="Compact"/>
              <w:jc w:val="right"/>
            </w:pPr>
            <w:r>
              <w:t xml:space="preserve">0.7670 ± 0.0004</w:t>
            </w:r>
          </w:p>
        </w:tc>
        <w:tc>
          <w:tcPr/>
          <w:p>
            <w:pPr>
              <w:pStyle w:val="Compact"/>
              <w:jc w:val="right"/>
            </w:pPr>
            <w:r>
              <w:t xml:space="preserve">0.000000</w:t>
            </w:r>
          </w:p>
        </w:tc>
      </w:tr>
      <w:tr>
        <w:tc>
          <w:tcPr/>
          <w:p>
            <w:pPr>
              <w:pStyle w:val="Compact"/>
              <w:jc w:val="right"/>
            </w:pPr>
            <w:r>
              <w:t xml:space="preserve">2024</w:t>
            </w:r>
          </w:p>
        </w:tc>
        <w:tc>
          <w:tcPr/>
          <w:p>
            <w:pPr>
              <w:pStyle w:val="Compact"/>
            </w:pPr>
            <w:r>
              <w:t xml:space="preserve">Paper58</w:t>
            </w:r>
          </w:p>
        </w:tc>
        <w:tc>
          <w:tcPr/>
          <w:p>
            <w:pPr>
              <w:pStyle w:val="Compact"/>
              <w:jc w:val="right"/>
            </w:pPr>
            <w:r>
              <w:rPr>
                <w:b/>
                <w:bCs/>
              </w:rPr>
              <w:t xml:space="preserve">0.2778 ± 0.0061</w:t>
            </w:r>
          </w:p>
        </w:tc>
        <w:tc>
          <w:tcPr/>
          <w:p>
            <w:pPr>
              <w:pStyle w:val="Compact"/>
              <w:jc w:val="right"/>
            </w:pPr>
            <w:r>
              <w:rPr>
                <w:b/>
                <w:bCs/>
              </w:rPr>
              <w:t xml:space="preserve">0.4348 ± 0.0074</w:t>
            </w:r>
          </w:p>
        </w:tc>
        <w:tc>
          <w:tcPr/>
          <w:p>
            <w:pPr>
              <w:pStyle w:val="Compact"/>
              <w:jc w:val="right"/>
            </w:pPr>
            <w:r>
              <w:rPr>
                <w:b/>
                <w:bCs/>
              </w:rPr>
              <w:t xml:space="preserve">0.8905 ± 0.0014</w:t>
            </w:r>
          </w:p>
        </w:tc>
        <w:tc>
          <w:tcPr/>
          <w:p>
            <w:pPr>
              <w:pStyle w:val="Compact"/>
              <w:jc w:val="right"/>
            </w:pPr>
            <w:r>
              <w:rPr>
                <w:b/>
                <w:bCs/>
              </w:rPr>
              <w:t xml:space="preserve">0.7693 ± 0.0011</w:t>
            </w:r>
          </w:p>
        </w:tc>
        <w:tc>
          <w:tcPr/>
          <w:p>
            <w:pPr>
              <w:pStyle w:val="Compact"/>
              <w:jc w:val="right"/>
            </w:pPr>
            <w:r>
              <w:t xml:space="preserve">0.000000</w:t>
            </w:r>
          </w:p>
        </w:tc>
      </w:tr>
    </w:tbl>
    <w:p>
      <w:pPr>
        <w:pStyle w:val="BodyText"/>
      </w:pPr>
      <w:r>
        <w:t xml:space="preserve">Geospatial Kernel improved change FoM over GeoSOS-FLUS by 0.0721 in 2023 and 0.0790 in 2024. Paper58 improved over GeoSOS-FLUS by 0.0388 and 0.0963, respectively. The ranking changed at the longer horizon: Geospatial Kernel was strongest for the 2023 one-step target, while Paper58 was strongest for the 2024 two-step target. The result is scientifically useful precisely because it prevents an over-general conclusion. Geospatial Kernel was competitive in historical allocation, but its advantage in this benchmark is not a universal claim about future prediction accuracy. The four primary metrics and seed variability are shown in Fig. 2.</w:t>
      </w:r>
    </w:p>
    <w:p>
      <w:pPr>
        <w:pStyle w:val="BodyText"/>
      </w:pPr>
      <w:r>
        <w:t xml:space="preserve">The reliability subset tells a second, less favourable story about the data. Dynamic World mean top-probability was below 0.5 for approximately 51.0% of valid cells in 2017 and 61.3% in 2024. When both origin and target cells were required to exceed 0.5, all models retained high static agreement but the change FoM became much lower because few high-confidence cells were labelled as changed. We therefore report the full-grid metric as the primary result and use the reliability subset only as a diagnostic of label volatility.</w:t>
      </w:r>
    </w:p>
    <w:bookmarkEnd w:id="15"/>
    <w:bookmarkStart w:id="16" w:name="X8bea710c09627f50c8b6d86aa6c3045f6e14a1a"/>
    <w:p>
      <w:pPr>
        <w:pStyle w:val="Heading3"/>
      </w:pPr>
      <w:r>
        <w:t xml:space="preserve">Constraint projection produces feasible and spatially distinct planning allocations</w:t>
      </w:r>
    </w:p>
    <w:p>
      <w:pPr>
        <w:pStyle w:val="FirstParagraph"/>
      </w:pPr>
      <w:r>
        <w:t xml:space="preserve">The planning track starts from the observed 2024 state and rolls forward to 2031. It uses three declared actions. Compact growth adds 500 built and 50 green cells per year. Ecological priority adds 350 built and 150 green cells per year. Outward growth adds 1,000 built and 25 green cells per year. The 2031 targets extend the 2029–2030 annual differences and are marked as scenario targets. Exogenous drivers are held at their 2024 values, so the exercise is a controlled stress test rather than a forecast.</w:t>
      </w:r>
    </w:p>
    <w:p>
      <w:pPr>
        <w:pStyle w:val="BodyText"/>
      </w:pPr>
      <w:r>
        <w:rPr>
          <w:b/>
          <w:bCs/>
        </w:rPr>
        <w:t xml:space="preserve">Table 2a | 2031 planning objectives and spatial accessibility.</w:t>
      </w:r>
      <w:r>
        <w:t xml:space="preserve"> </w:t>
      </w:r>
      <w:r>
        <w:t xml:space="preserve">Values are mean ± population SD across three seeds. DTV is normalized demand total variation; ecological conversion is the percentage of new built cells originating in the public vegetation/ecological proxy mask. Compactness is the fraction of eight neighbours that are built around a new built cell. Distances are measured in metres.</w:t>
      </w:r>
      <w:r>
        <w:t xml:space="preserve"> </w:t>
      </w:r>
      <w:r>
        <w:rPr>
          <w:rStyle w:val="VerbatimChar"/>
        </w:rPr>
        <w:t xml:space="preserve">Kernel</w:t>
      </w:r>
      <w:r>
        <w:t xml:space="preserve"> </w:t>
      </w:r>
      <w:r>
        <w:t xml:space="preserve">denotes Geospatial Kernel.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Method</w:t>
            </w:r>
          </w:p>
        </w:tc>
        <w:tc>
          <w:tcPr/>
          <w:p>
            <w:pPr>
              <w:pStyle w:val="Compact"/>
            </w:pPr>
            <w:r>
              <w:t xml:space="preserve">Scenario</w:t>
            </w:r>
          </w:p>
        </w:tc>
        <w:tc>
          <w:tcPr/>
          <w:p>
            <w:pPr>
              <w:pStyle w:val="Compact"/>
              <w:jc w:val="right"/>
            </w:pPr>
            <w:r>
              <w:t xml:space="preserve">DTV</w:t>
            </w:r>
          </w:p>
        </w:tc>
        <w:tc>
          <w:tcPr/>
          <w:p>
            <w:pPr>
              <w:pStyle w:val="Compact"/>
              <w:jc w:val="right"/>
            </w:pPr>
            <w:r>
              <w:t xml:space="preserve">Eco conv. (%)</w:t>
            </w:r>
          </w:p>
        </w:tc>
        <w:tc>
          <w:tcPr/>
          <w:p>
            <w:pPr>
              <w:pStyle w:val="Compact"/>
              <w:jc w:val="right"/>
            </w:pPr>
            <w:r>
              <w:t xml:space="preserve">Compactness</w:t>
            </w:r>
          </w:p>
        </w:tc>
        <w:tc>
          <w:tcPr/>
          <w:p>
            <w:pPr>
              <w:pStyle w:val="Compact"/>
              <w:jc w:val="right"/>
            </w:pPr>
            <w:r>
              <w:t xml:space="preserve">Major road (m)</w:t>
            </w:r>
          </w:p>
        </w:tc>
        <w:tc>
          <w:tcPr/>
          <w:p>
            <w:pPr>
              <w:pStyle w:val="Compact"/>
              <w:jc w:val="right"/>
            </w:pPr>
            <w:r>
              <w:t xml:space="preserve">Prior built (m)</w:t>
            </w:r>
          </w:p>
        </w:tc>
      </w:tr>
      <w:tr>
        <w:tc>
          <w:tcPr/>
          <w:p>
            <w:pPr>
              <w:pStyle w:val="Compact"/>
            </w:pPr>
            <w:r>
              <w:t xml:space="preserve">GeoSOS-FLUS</w:t>
            </w:r>
          </w:p>
        </w:tc>
        <w:tc>
          <w:tcPr/>
          <w:p>
            <w:pPr>
              <w:pStyle w:val="Compact"/>
            </w:pPr>
            <w:r>
              <w:t xml:space="preserve">Compact</w:t>
            </w:r>
          </w:p>
        </w:tc>
        <w:tc>
          <w:tcPr/>
          <w:p>
            <w:pPr>
              <w:pStyle w:val="Compact"/>
              <w:jc w:val="right"/>
            </w:pPr>
            <w:r>
              <w:t xml:space="preserve">0.00068</w:t>
            </w:r>
          </w:p>
        </w:tc>
        <w:tc>
          <w:tcPr/>
          <w:p>
            <w:pPr>
              <w:pStyle w:val="Compact"/>
              <w:jc w:val="right"/>
            </w:pPr>
            <w:r>
              <w:t xml:space="preserve">1.68</w:t>
            </w:r>
          </w:p>
        </w:tc>
        <w:tc>
          <w:tcPr/>
          <w:p>
            <w:pPr>
              <w:pStyle w:val="Compact"/>
              <w:jc w:val="right"/>
            </w:pPr>
            <w:r>
              <w:t xml:space="preserve">0.7618 ± 0.0231</w:t>
            </w:r>
          </w:p>
        </w:tc>
        <w:tc>
          <w:tcPr/>
          <w:p>
            <w:pPr>
              <w:pStyle w:val="Compact"/>
              <w:jc w:val="right"/>
            </w:pPr>
            <w:r>
              <w:t xml:space="preserve">446.1 ± 39.5</w:t>
            </w:r>
          </w:p>
        </w:tc>
        <w:tc>
          <w:tcPr/>
          <w:p>
            <w:pPr>
              <w:pStyle w:val="Compact"/>
              <w:jc w:val="right"/>
            </w:pPr>
            <w:r>
              <w:t xml:space="preserve">231.6 ± 21.3</w:t>
            </w:r>
          </w:p>
        </w:tc>
      </w:tr>
      <w:tr>
        <w:tc>
          <w:tcPr/>
          <w:p>
            <w:pPr>
              <w:pStyle w:val="Compact"/>
            </w:pPr>
            <w:r>
              <w:t xml:space="preserve">GeoSOS-FLUS</w:t>
            </w:r>
          </w:p>
        </w:tc>
        <w:tc>
          <w:tcPr/>
          <w:p>
            <w:pPr>
              <w:pStyle w:val="Compact"/>
            </w:pPr>
            <w:r>
              <w:t xml:space="preserve">Eco priority</w:t>
            </w:r>
          </w:p>
        </w:tc>
        <w:tc>
          <w:tcPr/>
          <w:p>
            <w:pPr>
              <w:pStyle w:val="Compact"/>
              <w:jc w:val="right"/>
            </w:pPr>
            <w:r>
              <w:t xml:space="preserve">0.00528</w:t>
            </w:r>
          </w:p>
        </w:tc>
        <w:tc>
          <w:tcPr/>
          <w:p>
            <w:pPr>
              <w:pStyle w:val="Compact"/>
              <w:jc w:val="right"/>
            </w:pPr>
            <w:r>
              <w:t xml:space="preserve">1.77</w:t>
            </w:r>
          </w:p>
        </w:tc>
        <w:tc>
          <w:tcPr/>
          <w:p>
            <w:pPr>
              <w:pStyle w:val="Compact"/>
              <w:jc w:val="right"/>
            </w:pPr>
            <w:r>
              <w:t xml:space="preserve">0.7687 ± 0.0291</w:t>
            </w:r>
          </w:p>
        </w:tc>
        <w:tc>
          <w:tcPr/>
          <w:p>
            <w:pPr>
              <w:pStyle w:val="Compact"/>
              <w:jc w:val="right"/>
            </w:pPr>
            <w:r>
              <w:t xml:space="preserve">443.7 ± 35.9</w:t>
            </w:r>
          </w:p>
        </w:tc>
        <w:tc>
          <w:tcPr/>
          <w:p>
            <w:pPr>
              <w:pStyle w:val="Compact"/>
              <w:jc w:val="right"/>
            </w:pPr>
            <w:r>
              <w:t xml:space="preserve">212.7 ± 11.4</w:t>
            </w:r>
          </w:p>
        </w:tc>
      </w:tr>
      <w:tr>
        <w:tc>
          <w:tcPr/>
          <w:p>
            <w:pPr>
              <w:pStyle w:val="Compact"/>
            </w:pPr>
            <w:r>
              <w:t xml:space="preserve">GeoSOS-FLUS</w:t>
            </w:r>
          </w:p>
        </w:tc>
        <w:tc>
          <w:tcPr/>
          <w:p>
            <w:pPr>
              <w:pStyle w:val="Compact"/>
            </w:pPr>
            <w:r>
              <w:t xml:space="preserve">Outward</w:t>
            </w:r>
          </w:p>
        </w:tc>
        <w:tc>
          <w:tcPr/>
          <w:p>
            <w:pPr>
              <w:pStyle w:val="Compact"/>
              <w:jc w:val="right"/>
            </w:pPr>
            <w:r>
              <w:t xml:space="preserve">0.00045</w:t>
            </w:r>
          </w:p>
        </w:tc>
        <w:tc>
          <w:tcPr/>
          <w:p>
            <w:pPr>
              <w:pStyle w:val="Compact"/>
              <w:jc w:val="right"/>
            </w:pPr>
            <w:r>
              <w:t xml:space="preserve">1.31</w:t>
            </w:r>
          </w:p>
        </w:tc>
        <w:tc>
          <w:tcPr/>
          <w:p>
            <w:pPr>
              <w:pStyle w:val="Compact"/>
              <w:jc w:val="right"/>
            </w:pPr>
            <w:r>
              <w:t xml:space="preserve">0.8000 ± 0.0196</w:t>
            </w:r>
          </w:p>
        </w:tc>
        <w:tc>
          <w:tcPr/>
          <w:p>
            <w:pPr>
              <w:pStyle w:val="Compact"/>
              <w:jc w:val="right"/>
            </w:pPr>
            <w:r>
              <w:t xml:space="preserve">443.5 ± 37.2</w:t>
            </w:r>
          </w:p>
        </w:tc>
        <w:tc>
          <w:tcPr/>
          <w:p>
            <w:pPr>
              <w:pStyle w:val="Compact"/>
              <w:jc w:val="right"/>
            </w:pPr>
            <w:r>
              <w:t xml:space="preserve">255.3 ± 27.8</w:t>
            </w:r>
          </w:p>
        </w:tc>
      </w:tr>
      <w:tr>
        <w:tc>
          <w:tcPr/>
          <w:p>
            <w:pPr>
              <w:pStyle w:val="Compact"/>
            </w:pPr>
            <w:r>
              <w:t xml:space="preserve">Kernel</w:t>
            </w:r>
          </w:p>
        </w:tc>
        <w:tc>
          <w:tcPr/>
          <w:p>
            <w:pPr>
              <w:pStyle w:val="Compact"/>
            </w:pPr>
            <w:r>
              <w:t xml:space="preserve">Compact</w:t>
            </w:r>
          </w:p>
        </w:tc>
        <w:tc>
          <w:tcPr/>
          <w:p>
            <w:pPr>
              <w:pStyle w:val="Compact"/>
              <w:jc w:val="right"/>
            </w:pPr>
            <w:r>
              <w:t xml:space="preserve">0.00000</w:t>
            </w:r>
          </w:p>
        </w:tc>
        <w:tc>
          <w:tcPr/>
          <w:p>
            <w:pPr>
              <w:pStyle w:val="Compact"/>
              <w:jc w:val="right"/>
            </w:pPr>
            <w:r>
              <w:t xml:space="preserve">0.00</w:t>
            </w:r>
          </w:p>
        </w:tc>
        <w:tc>
          <w:tcPr/>
          <w:p>
            <w:pPr>
              <w:pStyle w:val="Compact"/>
              <w:jc w:val="right"/>
            </w:pPr>
            <w:r>
              <w:rPr>
                <w:b/>
                <w:bCs/>
              </w:rPr>
              <w:t xml:space="preserve">0.8410 ± 0.0045</w:t>
            </w:r>
          </w:p>
        </w:tc>
        <w:tc>
          <w:tcPr/>
          <w:p>
            <w:pPr>
              <w:pStyle w:val="Compact"/>
              <w:jc w:val="right"/>
            </w:pPr>
            <w:r>
              <w:rPr>
                <w:b/>
                <w:bCs/>
              </w:rPr>
              <w:t xml:space="preserve">334.7 ± 13.4</w:t>
            </w:r>
          </w:p>
        </w:tc>
        <w:tc>
          <w:tcPr/>
          <w:p>
            <w:pPr>
              <w:pStyle w:val="Compact"/>
              <w:jc w:val="right"/>
            </w:pPr>
            <w:r>
              <w:rPr>
                <w:b/>
                <w:bCs/>
              </w:rPr>
              <w:t xml:space="preserve">116.7 ± 1.2</w:t>
            </w:r>
          </w:p>
        </w:tc>
      </w:tr>
      <w:tr>
        <w:tc>
          <w:tcPr/>
          <w:p>
            <w:pPr>
              <w:pStyle w:val="Compact"/>
            </w:pPr>
            <w:r>
              <w:t xml:space="preserve">Kernel</w:t>
            </w:r>
          </w:p>
        </w:tc>
        <w:tc>
          <w:tcPr/>
          <w:p>
            <w:pPr>
              <w:pStyle w:val="Compact"/>
            </w:pPr>
            <w:r>
              <w:t xml:space="preserve">Eco priority</w:t>
            </w:r>
          </w:p>
        </w:tc>
        <w:tc>
          <w:tcPr/>
          <w:p>
            <w:pPr>
              <w:pStyle w:val="Compact"/>
              <w:jc w:val="right"/>
            </w:pPr>
            <w:r>
              <w:t xml:space="preserve">0.00000</w:t>
            </w:r>
          </w:p>
        </w:tc>
        <w:tc>
          <w:tcPr/>
          <w:p>
            <w:pPr>
              <w:pStyle w:val="Compact"/>
              <w:jc w:val="right"/>
            </w:pPr>
            <w:r>
              <w:t xml:space="preserve">0.00</w:t>
            </w:r>
          </w:p>
        </w:tc>
        <w:tc>
          <w:tcPr/>
          <w:p>
            <w:pPr>
              <w:pStyle w:val="Compact"/>
              <w:jc w:val="right"/>
            </w:pPr>
            <w:r>
              <w:rPr>
                <w:b/>
                <w:bCs/>
              </w:rPr>
              <w:t xml:space="preserve">0.8332 ± 0.0068</w:t>
            </w:r>
          </w:p>
        </w:tc>
        <w:tc>
          <w:tcPr/>
          <w:p>
            <w:pPr>
              <w:pStyle w:val="Compact"/>
              <w:jc w:val="right"/>
            </w:pPr>
            <w:r>
              <w:rPr>
                <w:b/>
                <w:bCs/>
              </w:rPr>
              <w:t xml:space="preserve">323.1 ± 19.5</w:t>
            </w:r>
          </w:p>
        </w:tc>
        <w:tc>
          <w:tcPr/>
          <w:p>
            <w:pPr>
              <w:pStyle w:val="Compact"/>
              <w:jc w:val="right"/>
            </w:pPr>
            <w:r>
              <w:rPr>
                <w:b/>
                <w:bCs/>
              </w:rPr>
              <w:t xml:space="preserve">111.0 ± 0.5</w:t>
            </w:r>
          </w:p>
        </w:tc>
      </w:tr>
      <w:tr>
        <w:tc>
          <w:tcPr/>
          <w:p>
            <w:pPr>
              <w:pStyle w:val="Compact"/>
            </w:pPr>
            <w:r>
              <w:t xml:space="preserve">Kernel</w:t>
            </w:r>
          </w:p>
        </w:tc>
        <w:tc>
          <w:tcPr/>
          <w:p>
            <w:pPr>
              <w:pStyle w:val="Compact"/>
            </w:pPr>
            <w:r>
              <w:t xml:space="preserve">Outward</w:t>
            </w:r>
          </w:p>
        </w:tc>
        <w:tc>
          <w:tcPr/>
          <w:p>
            <w:pPr>
              <w:pStyle w:val="Compact"/>
              <w:jc w:val="right"/>
            </w:pPr>
            <w:r>
              <w:t xml:space="preserve">0.00000</w:t>
            </w:r>
          </w:p>
        </w:tc>
        <w:tc>
          <w:tcPr/>
          <w:p>
            <w:pPr>
              <w:pStyle w:val="Compact"/>
              <w:jc w:val="right"/>
            </w:pPr>
            <w:r>
              <w:t xml:space="preserve">0.00</w:t>
            </w:r>
          </w:p>
        </w:tc>
        <w:tc>
          <w:tcPr/>
          <w:p>
            <w:pPr>
              <w:pStyle w:val="Compact"/>
              <w:jc w:val="right"/>
            </w:pPr>
            <w:r>
              <w:rPr>
                <w:b/>
                <w:bCs/>
              </w:rPr>
              <w:t xml:space="preserve">0.8545 ± 0.0047</w:t>
            </w:r>
          </w:p>
        </w:tc>
        <w:tc>
          <w:tcPr/>
          <w:p>
            <w:pPr>
              <w:pStyle w:val="Compact"/>
              <w:jc w:val="right"/>
            </w:pPr>
            <w:r>
              <w:rPr>
                <w:b/>
                <w:bCs/>
              </w:rPr>
              <w:t xml:space="preserve">365.5 ± 5.3</w:t>
            </w:r>
          </w:p>
        </w:tc>
        <w:tc>
          <w:tcPr/>
          <w:p>
            <w:pPr>
              <w:pStyle w:val="Compact"/>
              <w:jc w:val="right"/>
            </w:pPr>
            <w:r>
              <w:rPr>
                <w:b/>
                <w:bCs/>
              </w:rPr>
              <w:t xml:space="preserve">139.8 ± 1.5</w:t>
            </w:r>
          </w:p>
        </w:tc>
      </w:tr>
      <w:tr>
        <w:tc>
          <w:tcPr/>
          <w:p>
            <w:pPr>
              <w:pStyle w:val="Compact"/>
            </w:pPr>
            <w:r>
              <w:t xml:space="preserve">Paper58</w:t>
            </w:r>
          </w:p>
        </w:tc>
        <w:tc>
          <w:tcPr/>
          <w:p>
            <w:pPr>
              <w:pStyle w:val="Compact"/>
            </w:pPr>
            <w:r>
              <w:t xml:space="preserve">Compact</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0.7676 ± 0.0170</w:t>
            </w:r>
          </w:p>
        </w:tc>
        <w:tc>
          <w:tcPr/>
          <w:p>
            <w:pPr>
              <w:pStyle w:val="Compact"/>
              <w:jc w:val="right"/>
            </w:pPr>
            <w:r>
              <w:t xml:space="preserve">475.9 ± 35.7</w:t>
            </w:r>
          </w:p>
        </w:tc>
        <w:tc>
          <w:tcPr/>
          <w:p>
            <w:pPr>
              <w:pStyle w:val="Compact"/>
              <w:jc w:val="right"/>
            </w:pPr>
            <w:r>
              <w:t xml:space="preserve">239.7 ± 44.6</w:t>
            </w:r>
          </w:p>
        </w:tc>
      </w:tr>
      <w:tr>
        <w:tc>
          <w:tcPr/>
          <w:p>
            <w:pPr>
              <w:pStyle w:val="Compact"/>
            </w:pPr>
            <w:r>
              <w:t xml:space="preserve">Paper58</w:t>
            </w:r>
          </w:p>
        </w:tc>
        <w:tc>
          <w:tcPr/>
          <w:p>
            <w:pPr>
              <w:pStyle w:val="Compact"/>
            </w:pPr>
            <w:r>
              <w:t xml:space="preserve">Eco priority</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0.7506 ± 0.0174</w:t>
            </w:r>
          </w:p>
        </w:tc>
        <w:tc>
          <w:tcPr/>
          <w:p>
            <w:pPr>
              <w:pStyle w:val="Compact"/>
              <w:jc w:val="right"/>
            </w:pPr>
            <w:r>
              <w:t xml:space="preserve">452.1 ± 22.0</w:t>
            </w:r>
          </w:p>
        </w:tc>
        <w:tc>
          <w:tcPr/>
          <w:p>
            <w:pPr>
              <w:pStyle w:val="Compact"/>
              <w:jc w:val="right"/>
            </w:pPr>
            <w:r>
              <w:t xml:space="preserve">222.3 ± 19.8</w:t>
            </w:r>
          </w:p>
        </w:tc>
      </w:tr>
      <w:tr>
        <w:tc>
          <w:tcPr/>
          <w:p>
            <w:pPr>
              <w:pStyle w:val="Compact"/>
            </w:pPr>
            <w:r>
              <w:t xml:space="preserve">Paper58</w:t>
            </w:r>
          </w:p>
        </w:tc>
        <w:tc>
          <w:tcPr/>
          <w:p>
            <w:pPr>
              <w:pStyle w:val="Compact"/>
            </w:pPr>
            <w:r>
              <w:t xml:space="preserve">Outward</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0.8117 ± 0.0236</w:t>
            </w:r>
          </w:p>
        </w:tc>
        <w:tc>
          <w:tcPr/>
          <w:p>
            <w:pPr>
              <w:pStyle w:val="Compact"/>
              <w:jc w:val="right"/>
            </w:pPr>
            <w:r>
              <w:t xml:space="preserve">507.5 ± 56.4</w:t>
            </w:r>
          </w:p>
        </w:tc>
        <w:tc>
          <w:tcPr/>
          <w:p>
            <w:pPr>
              <w:pStyle w:val="Compact"/>
              <w:jc w:val="right"/>
            </w:pPr>
            <w:r>
              <w:t xml:space="preserve">263.0 ± 71.8</w:t>
            </w:r>
          </w:p>
        </w:tc>
      </w:tr>
    </w:tbl>
    <w:p>
      <w:pPr>
        <w:pStyle w:val="BodyText"/>
      </w:pPr>
      <w:r>
        <w:rPr>
          <w:b/>
          <w:bCs/>
        </w:rPr>
        <w:t xml:space="preserve">Table 2b | 2031 planning demand and Pareto status.</w:t>
      </w:r>
      <w:r>
        <w:t xml:space="preserve"> </w:t>
      </w:r>
      <w:r>
        <w:t xml:space="preserve">Built gain is net built-cell change relative to 2024; retired counts cells that were built in 2024 and are not built in 2031; green gain is the corresponding net gain. Pareto status is conditional on the declared objective directions and public-data proxy constraints.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Scenario</w:t>
            </w:r>
          </w:p>
        </w:tc>
        <w:tc>
          <w:tcPr/>
          <w:p>
            <w:pPr>
              <w:pStyle w:val="Compact"/>
              <w:jc w:val="right"/>
            </w:pPr>
            <w:r>
              <w:t xml:space="preserve">Built gain</w:t>
            </w:r>
          </w:p>
        </w:tc>
        <w:tc>
          <w:tcPr/>
          <w:p>
            <w:pPr>
              <w:pStyle w:val="Compact"/>
              <w:jc w:val="right"/>
            </w:pPr>
            <w:r>
              <w:t xml:space="preserve">Retired</w:t>
            </w:r>
          </w:p>
        </w:tc>
        <w:tc>
          <w:tcPr/>
          <w:p>
            <w:pPr>
              <w:pStyle w:val="Compact"/>
              <w:jc w:val="right"/>
            </w:pPr>
            <w:r>
              <w:t xml:space="preserve">Green gain</w:t>
            </w:r>
          </w:p>
        </w:tc>
        <w:tc>
          <w:tcPr/>
          <w:p>
            <w:pPr>
              <w:pStyle w:val="Compact"/>
              <w:jc w:val="center"/>
            </w:pPr>
            <w:r>
              <w:t xml:space="preserve">Pareto</w:t>
            </w:r>
          </w:p>
        </w:tc>
      </w:tr>
      <w:tr>
        <w:tc>
          <w:tcPr/>
          <w:p>
            <w:pPr>
              <w:pStyle w:val="Compact"/>
            </w:pPr>
            <w:r>
              <w:t xml:space="preserve">GeoSOS-FLUS</w:t>
            </w:r>
          </w:p>
        </w:tc>
        <w:tc>
          <w:tcPr/>
          <w:p>
            <w:pPr>
              <w:pStyle w:val="Compact"/>
            </w:pPr>
            <w:r>
              <w:t xml:space="preserve">Compact</w:t>
            </w:r>
          </w:p>
        </w:tc>
        <w:tc>
          <w:tcPr/>
          <w:p>
            <w:pPr>
              <w:pStyle w:val="Compact"/>
              <w:jc w:val="right"/>
            </w:pPr>
            <w:r>
              <w:t xml:space="preserve">3,500</w:t>
            </w:r>
          </w:p>
        </w:tc>
        <w:tc>
          <w:tcPr/>
          <w:p>
            <w:pPr>
              <w:pStyle w:val="Compact"/>
              <w:jc w:val="right"/>
            </w:pPr>
            <w:r>
              <w:t xml:space="preserve">3,436</w:t>
            </w:r>
          </w:p>
        </w:tc>
        <w:tc>
          <w:tcPr/>
          <w:p>
            <w:pPr>
              <w:pStyle w:val="Compact"/>
              <w:jc w:val="right"/>
            </w:pPr>
            <w:r>
              <w:t xml:space="preserve">296</w:t>
            </w:r>
          </w:p>
        </w:tc>
        <w:tc>
          <w:tcPr/>
          <w:p>
            <w:pPr>
              <w:pStyle w:val="Compact"/>
              <w:jc w:val="center"/>
            </w:pPr>
            <w:r>
              <w:t xml:space="preserve">no</w:t>
            </w:r>
          </w:p>
        </w:tc>
      </w:tr>
      <w:tr>
        <w:tc>
          <w:tcPr/>
          <w:p>
            <w:pPr>
              <w:pStyle w:val="Compact"/>
            </w:pPr>
            <w:r>
              <w:t xml:space="preserve">GeoSOS-FLUS</w:t>
            </w:r>
          </w:p>
        </w:tc>
        <w:tc>
          <w:tcPr/>
          <w:p>
            <w:pPr>
              <w:pStyle w:val="Compact"/>
            </w:pPr>
            <w:r>
              <w:t xml:space="preserve">Eco priority</w:t>
            </w:r>
          </w:p>
        </w:tc>
        <w:tc>
          <w:tcPr/>
          <w:p>
            <w:pPr>
              <w:pStyle w:val="Compact"/>
              <w:jc w:val="right"/>
            </w:pPr>
            <w:r>
              <w:t xml:space="preserve">2,450</w:t>
            </w:r>
          </w:p>
        </w:tc>
        <w:tc>
          <w:tcPr/>
          <w:p>
            <w:pPr>
              <w:pStyle w:val="Compact"/>
              <w:jc w:val="right"/>
            </w:pPr>
            <w:r>
              <w:t xml:space="preserve">3,632</w:t>
            </w:r>
          </w:p>
        </w:tc>
        <w:tc>
          <w:tcPr/>
          <w:p>
            <w:pPr>
              <w:pStyle w:val="Compact"/>
              <w:jc w:val="right"/>
            </w:pPr>
            <w:r>
              <w:t xml:space="preserve">629</w:t>
            </w:r>
          </w:p>
        </w:tc>
        <w:tc>
          <w:tcPr/>
          <w:p>
            <w:pPr>
              <w:pStyle w:val="Compact"/>
              <w:jc w:val="center"/>
            </w:pPr>
            <w:r>
              <w:t xml:space="preserve">no</w:t>
            </w:r>
          </w:p>
        </w:tc>
      </w:tr>
      <w:tr>
        <w:tc>
          <w:tcPr/>
          <w:p>
            <w:pPr>
              <w:pStyle w:val="Compact"/>
            </w:pPr>
            <w:r>
              <w:t xml:space="preserve">GeoSOS-FLUS</w:t>
            </w:r>
          </w:p>
        </w:tc>
        <w:tc>
          <w:tcPr/>
          <w:p>
            <w:pPr>
              <w:pStyle w:val="Compact"/>
            </w:pPr>
            <w:r>
              <w:t xml:space="preserve">Outward</w:t>
            </w:r>
          </w:p>
        </w:tc>
        <w:tc>
          <w:tcPr/>
          <w:p>
            <w:pPr>
              <w:pStyle w:val="Compact"/>
              <w:jc w:val="right"/>
            </w:pPr>
            <w:r>
              <w:t xml:space="preserve">7,000</w:t>
            </w:r>
          </w:p>
        </w:tc>
        <w:tc>
          <w:tcPr/>
          <w:p>
            <w:pPr>
              <w:pStyle w:val="Compact"/>
              <w:jc w:val="right"/>
            </w:pPr>
            <w:r>
              <w:t xml:space="preserve">2,724</w:t>
            </w:r>
          </w:p>
        </w:tc>
        <w:tc>
          <w:tcPr/>
          <w:p>
            <w:pPr>
              <w:pStyle w:val="Compact"/>
              <w:jc w:val="right"/>
            </w:pPr>
            <w:r>
              <w:t xml:space="preserve">139</w:t>
            </w:r>
          </w:p>
        </w:tc>
        <w:tc>
          <w:tcPr/>
          <w:p>
            <w:pPr>
              <w:pStyle w:val="Compact"/>
              <w:jc w:val="center"/>
            </w:pPr>
            <w:r>
              <w:t xml:space="preserve">no</w:t>
            </w:r>
          </w:p>
        </w:tc>
      </w:tr>
      <w:tr>
        <w:tc>
          <w:tcPr/>
          <w:p>
            <w:pPr>
              <w:pStyle w:val="Compact"/>
            </w:pPr>
            <w:r>
              <w:t xml:space="preserve">Kernel</w:t>
            </w:r>
          </w:p>
        </w:tc>
        <w:tc>
          <w:tcPr/>
          <w:p>
            <w:pPr>
              <w:pStyle w:val="Compact"/>
            </w:pPr>
            <w:r>
              <w:t xml:space="preserve">Compact</w:t>
            </w:r>
          </w:p>
        </w:tc>
        <w:tc>
          <w:tcPr/>
          <w:p>
            <w:pPr>
              <w:pStyle w:val="Compact"/>
              <w:jc w:val="right"/>
            </w:pPr>
            <w:r>
              <w:t xml:space="preserve">3,500</w:t>
            </w:r>
          </w:p>
        </w:tc>
        <w:tc>
          <w:tcPr/>
          <w:p>
            <w:pPr>
              <w:pStyle w:val="Compact"/>
              <w:jc w:val="right"/>
            </w:pPr>
            <w:r>
              <w:t xml:space="preserve">0</w:t>
            </w:r>
          </w:p>
        </w:tc>
        <w:tc>
          <w:tcPr/>
          <w:p>
            <w:pPr>
              <w:pStyle w:val="Compact"/>
              <w:jc w:val="right"/>
            </w:pPr>
            <w:r>
              <w:t xml:space="preserve">350</w:t>
            </w:r>
          </w:p>
        </w:tc>
        <w:tc>
          <w:tcPr/>
          <w:p>
            <w:pPr>
              <w:pStyle w:val="Compact"/>
              <w:jc w:val="center"/>
            </w:pPr>
            <w:r>
              <w:rPr>
                <w:b/>
                <w:bCs/>
              </w:rPr>
              <w:t xml:space="preserve">yes</w:t>
            </w:r>
          </w:p>
        </w:tc>
      </w:tr>
      <w:tr>
        <w:tc>
          <w:tcPr/>
          <w:p>
            <w:pPr>
              <w:pStyle w:val="Compact"/>
            </w:pPr>
            <w:r>
              <w:t xml:space="preserve">Kernel</w:t>
            </w:r>
          </w:p>
        </w:tc>
        <w:tc>
          <w:tcPr/>
          <w:p>
            <w:pPr>
              <w:pStyle w:val="Compact"/>
            </w:pPr>
            <w:r>
              <w:t xml:space="preserve">Eco priority</w:t>
            </w:r>
          </w:p>
        </w:tc>
        <w:tc>
          <w:tcPr/>
          <w:p>
            <w:pPr>
              <w:pStyle w:val="Compact"/>
              <w:jc w:val="right"/>
            </w:pPr>
            <w:r>
              <w:t xml:space="preserve">2,450</w:t>
            </w:r>
          </w:p>
        </w:tc>
        <w:tc>
          <w:tcPr/>
          <w:p>
            <w:pPr>
              <w:pStyle w:val="Compact"/>
              <w:jc w:val="right"/>
            </w:pPr>
            <w:r>
              <w:t xml:space="preserve">0</w:t>
            </w:r>
          </w:p>
        </w:tc>
        <w:tc>
          <w:tcPr/>
          <w:p>
            <w:pPr>
              <w:pStyle w:val="Compact"/>
              <w:jc w:val="right"/>
            </w:pPr>
            <w:r>
              <w:t xml:space="preserve">1,050</w:t>
            </w:r>
          </w:p>
        </w:tc>
        <w:tc>
          <w:tcPr/>
          <w:p>
            <w:pPr>
              <w:pStyle w:val="Compact"/>
              <w:jc w:val="center"/>
            </w:pPr>
            <w:r>
              <w:rPr>
                <w:b/>
                <w:bCs/>
              </w:rPr>
              <w:t xml:space="preserve">yes</w:t>
            </w:r>
          </w:p>
        </w:tc>
      </w:tr>
      <w:tr>
        <w:tc>
          <w:tcPr/>
          <w:p>
            <w:pPr>
              <w:pStyle w:val="Compact"/>
            </w:pPr>
            <w:r>
              <w:t xml:space="preserve">Kernel</w:t>
            </w:r>
          </w:p>
        </w:tc>
        <w:tc>
          <w:tcPr/>
          <w:p>
            <w:pPr>
              <w:pStyle w:val="Compact"/>
            </w:pPr>
            <w:r>
              <w:t xml:space="preserve">Outward</w:t>
            </w:r>
          </w:p>
        </w:tc>
        <w:tc>
          <w:tcPr/>
          <w:p>
            <w:pPr>
              <w:pStyle w:val="Compact"/>
              <w:jc w:val="right"/>
            </w:pPr>
            <w:r>
              <w:t xml:space="preserve">7,000</w:t>
            </w:r>
          </w:p>
        </w:tc>
        <w:tc>
          <w:tcPr/>
          <w:p>
            <w:pPr>
              <w:pStyle w:val="Compact"/>
              <w:jc w:val="right"/>
            </w:pPr>
            <w:r>
              <w:t xml:space="preserve">0</w:t>
            </w:r>
          </w:p>
        </w:tc>
        <w:tc>
          <w:tcPr/>
          <w:p>
            <w:pPr>
              <w:pStyle w:val="Compact"/>
              <w:jc w:val="right"/>
            </w:pPr>
            <w:r>
              <w:t xml:space="preserve">175</w:t>
            </w:r>
          </w:p>
        </w:tc>
        <w:tc>
          <w:tcPr/>
          <w:p>
            <w:pPr>
              <w:pStyle w:val="Compact"/>
              <w:jc w:val="center"/>
            </w:pPr>
            <w:r>
              <w:rPr>
                <w:b/>
                <w:bCs/>
              </w:rPr>
              <w:t xml:space="preserve">yes</w:t>
            </w:r>
          </w:p>
        </w:tc>
      </w:tr>
      <w:tr>
        <w:tc>
          <w:tcPr/>
          <w:p>
            <w:pPr>
              <w:pStyle w:val="Compact"/>
            </w:pPr>
            <w:r>
              <w:t xml:space="preserve">Paper58</w:t>
            </w:r>
          </w:p>
        </w:tc>
        <w:tc>
          <w:tcPr/>
          <w:p>
            <w:pPr>
              <w:pStyle w:val="Compact"/>
            </w:pPr>
            <w:r>
              <w:t xml:space="preserve">Compact</w:t>
            </w:r>
          </w:p>
        </w:tc>
        <w:tc>
          <w:tcPr/>
          <w:p>
            <w:pPr>
              <w:pStyle w:val="Compact"/>
              <w:jc w:val="right"/>
            </w:pPr>
            <w:r>
              <w:t xml:space="preserve">3,500</w:t>
            </w:r>
          </w:p>
        </w:tc>
        <w:tc>
          <w:tcPr/>
          <w:p>
            <w:pPr>
              <w:pStyle w:val="Compact"/>
              <w:jc w:val="right"/>
            </w:pPr>
            <w:r>
              <w:t xml:space="preserve">0</w:t>
            </w:r>
          </w:p>
        </w:tc>
        <w:tc>
          <w:tcPr/>
          <w:p>
            <w:pPr>
              <w:pStyle w:val="Compact"/>
              <w:jc w:val="right"/>
            </w:pPr>
            <w:r>
              <w:t xml:space="preserve">350</w:t>
            </w:r>
          </w:p>
        </w:tc>
        <w:tc>
          <w:tcPr/>
          <w:p>
            <w:pPr>
              <w:pStyle w:val="Compact"/>
              <w:jc w:val="center"/>
            </w:pPr>
            <w:r>
              <w:t xml:space="preserve">no</w:t>
            </w:r>
          </w:p>
        </w:tc>
      </w:tr>
      <w:tr>
        <w:tc>
          <w:tcPr/>
          <w:p>
            <w:pPr>
              <w:pStyle w:val="Compact"/>
            </w:pPr>
            <w:r>
              <w:t xml:space="preserve">Paper58</w:t>
            </w:r>
          </w:p>
        </w:tc>
        <w:tc>
          <w:tcPr/>
          <w:p>
            <w:pPr>
              <w:pStyle w:val="Compact"/>
            </w:pPr>
            <w:r>
              <w:t xml:space="preserve">Eco priority</w:t>
            </w:r>
          </w:p>
        </w:tc>
        <w:tc>
          <w:tcPr/>
          <w:p>
            <w:pPr>
              <w:pStyle w:val="Compact"/>
              <w:jc w:val="right"/>
            </w:pPr>
            <w:r>
              <w:t xml:space="preserve">2,450</w:t>
            </w:r>
          </w:p>
        </w:tc>
        <w:tc>
          <w:tcPr/>
          <w:p>
            <w:pPr>
              <w:pStyle w:val="Compact"/>
              <w:jc w:val="right"/>
            </w:pPr>
            <w:r>
              <w:t xml:space="preserve">0</w:t>
            </w:r>
          </w:p>
        </w:tc>
        <w:tc>
          <w:tcPr/>
          <w:p>
            <w:pPr>
              <w:pStyle w:val="Compact"/>
              <w:jc w:val="right"/>
            </w:pPr>
            <w:r>
              <w:t xml:space="preserve">1,050</w:t>
            </w:r>
          </w:p>
        </w:tc>
        <w:tc>
          <w:tcPr/>
          <w:p>
            <w:pPr>
              <w:pStyle w:val="Compact"/>
              <w:jc w:val="center"/>
            </w:pPr>
            <w:r>
              <w:t xml:space="preserve">no</w:t>
            </w:r>
          </w:p>
        </w:tc>
      </w:tr>
      <w:tr>
        <w:tc>
          <w:tcPr/>
          <w:p>
            <w:pPr>
              <w:pStyle w:val="Compact"/>
            </w:pPr>
            <w:r>
              <w:t xml:space="preserve">Paper58</w:t>
            </w:r>
          </w:p>
        </w:tc>
        <w:tc>
          <w:tcPr/>
          <w:p>
            <w:pPr>
              <w:pStyle w:val="Compact"/>
            </w:pPr>
            <w:r>
              <w:t xml:space="preserve">Outward</w:t>
            </w:r>
          </w:p>
        </w:tc>
        <w:tc>
          <w:tcPr/>
          <w:p>
            <w:pPr>
              <w:pStyle w:val="Compact"/>
              <w:jc w:val="right"/>
            </w:pPr>
            <w:r>
              <w:t xml:space="preserve">7,000</w:t>
            </w:r>
          </w:p>
        </w:tc>
        <w:tc>
          <w:tcPr/>
          <w:p>
            <w:pPr>
              <w:pStyle w:val="Compact"/>
              <w:jc w:val="right"/>
            </w:pPr>
            <w:r>
              <w:t xml:space="preserve">0</w:t>
            </w:r>
          </w:p>
        </w:tc>
        <w:tc>
          <w:tcPr/>
          <w:p>
            <w:pPr>
              <w:pStyle w:val="Compact"/>
              <w:jc w:val="right"/>
            </w:pPr>
            <w:r>
              <w:t xml:space="preserve">175</w:t>
            </w:r>
          </w:p>
        </w:tc>
        <w:tc>
          <w:tcPr/>
          <w:p>
            <w:pPr>
              <w:pStyle w:val="Compact"/>
              <w:jc w:val="center"/>
            </w:pPr>
            <w:r>
              <w:t xml:space="preserve">no</w:t>
            </w:r>
          </w:p>
        </w:tc>
      </w:tr>
    </w:tbl>
    <w:p>
      <w:pPr>
        <w:pStyle w:val="BodyText"/>
      </w:pPr>
      <w:r>
        <w:t xml:space="preserve">All three Geospatial Kernel candidates were on the Pareto frontier under the frozen objective set. In the compact scenario, for example, the Kernel placed new built cells closer to major roads than either baseline and produced a higher neighbourhood compactness. The same ordering held for ecological priority and outward growth. The ecological conversion rate was zero for the Kernel and Paper58 because the projected allocations avoided conversion of the declared vegetation-origin cells in the public-data constraint system; GeoSOS-FLUS converted 1.31–1.77% of its new built cells from ecological proxy classes. These values are proxy outcomes, not estimates of statutory ecological impact.</w:t>
      </w:r>
    </w:p>
    <w:p>
      <w:pPr>
        <w:pStyle w:val="BodyText"/>
      </w:pPr>
      <w:r>
        <w:t xml:space="preserve">The built-retirement contrast is also visible in the maps. GeoSOS-FLUS reclassified approximately 2,724–3,632 cells that were built in 2024 while allocating new built cells elsewhere. Geospatial Kernel and Paper58 retained the prior built class under the same scenario target counts. This difference is a model behaviour under the frozen transition matrix, not evidence that either approach reproduces actual redevelopment or demolition. The objective trade-offs are summarized in Fig. 3.</w:t>
      </w:r>
    </w:p>
    <w:bookmarkEnd w:id="16"/>
    <w:bookmarkStart w:id="17" w:name="X2edc334fd04ec1c1c2121435f4b5fe96d514198"/>
    <w:p>
      <w:pPr>
        <w:pStyle w:val="Heading3"/>
      </w:pPr>
      <w:r>
        <w:t xml:space="preserve">Five-year trajectories and vectorized change footprints</w:t>
      </w:r>
    </w:p>
    <w:p>
      <w:pPr>
        <w:pStyle w:val="FirstParagraph"/>
      </w:pPr>
      <w:r>
        <w:t xml:space="preserve">The Geospatial Kernel trajectories from 2027 to 2031 show how the action changes the spatial configuration as demand accumulates. In the compact scenario, net built gain increases from 1,500 cells (15 km²) in 2027 to 3,500 cells (35 km²) in 2031, while green gain increases from 150 to 350 cells (1.5–3.5 km²). Ecological priority reaches 2,450 built cells (24.5 km²) and 1,050 green cells (10.5 km²) by 2031. Outward growth reaches 7,000 built cells (70 km²) and 175 green cells (1.75 km²). The corresponding new-built compactness rises from 0.776–0.795 in 2027 to 0.833–0.855 in 2031. Mean distance to pre-existing built cells remains lower than for the baselines, although it increases as the outward action expands.</w:t>
      </w:r>
    </w:p>
    <w:p>
      <w:pPr>
        <w:pStyle w:val="BodyText"/>
      </w:pPr>
      <w:r>
        <w:rPr>
          <w:b/>
          <w:bCs/>
        </w:rPr>
        <w:t xml:space="preserve">Table 3 | Geospatial Kernel trajectory under the three scenario actions.</w:t>
      </w:r>
      <w:r>
        <w:t xml:space="preserve"> </w:t>
      </w:r>
      <w:r>
        <w:t xml:space="preserve">Values are three-seed means. Built and green gains are cumulative net changes relative to 2024.</w:t>
      </w:r>
      <w:r>
        <w:t xml:space="preserve"> </w:t>
      </w:r>
      <w:r>
        <w:rPr>
          <w:rStyle w:val="VerbatimChar"/>
        </w:rPr>
        <w:t xml:space="preserve">Eco priority</w:t>
      </w:r>
      <w:r>
        <w:t xml:space="preserve"> </w:t>
      </w:r>
      <w:r>
        <w:t xml:space="preserve">is the ecological-priority action.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jc w:val="right"/>
            </w:pPr>
            <w:r>
              <w:t xml:space="preserve">Year</w:t>
            </w:r>
          </w:p>
        </w:tc>
        <w:tc>
          <w:tcPr/>
          <w:p>
            <w:pPr>
              <w:pStyle w:val="Compact"/>
              <w:jc w:val="right"/>
            </w:pPr>
            <w:r>
              <w:t xml:space="preserve">Built gain</w:t>
            </w:r>
          </w:p>
        </w:tc>
        <w:tc>
          <w:tcPr/>
          <w:p>
            <w:pPr>
              <w:pStyle w:val="Compact"/>
              <w:jc w:val="right"/>
            </w:pPr>
            <w:r>
              <w:t xml:space="preserve">Green gain</w:t>
            </w:r>
          </w:p>
        </w:tc>
        <w:tc>
          <w:tcPr/>
          <w:p>
            <w:pPr>
              <w:pStyle w:val="Compact"/>
              <w:jc w:val="right"/>
            </w:pPr>
            <w:r>
              <w:t xml:space="preserve">Compactness</w:t>
            </w:r>
          </w:p>
        </w:tc>
        <w:tc>
          <w:tcPr/>
          <w:p>
            <w:pPr>
              <w:pStyle w:val="Compact"/>
              <w:jc w:val="right"/>
            </w:pPr>
            <w:r>
              <w:t xml:space="preserve">Major road (m)</w:t>
            </w:r>
          </w:p>
        </w:tc>
        <w:tc>
          <w:tcPr/>
          <w:p>
            <w:pPr>
              <w:pStyle w:val="Compact"/>
              <w:jc w:val="right"/>
            </w:pPr>
            <w:r>
              <w:t xml:space="preserve">Prior built (m)</w:t>
            </w:r>
          </w:p>
        </w:tc>
      </w:tr>
      <w:tr>
        <w:tc>
          <w:tcPr/>
          <w:p>
            <w:pPr>
              <w:pStyle w:val="Compact"/>
            </w:pPr>
            <w:r>
              <w:t xml:space="preserve">Compact</w:t>
            </w:r>
          </w:p>
        </w:tc>
        <w:tc>
          <w:tcPr/>
          <w:p>
            <w:pPr>
              <w:pStyle w:val="Compact"/>
              <w:jc w:val="right"/>
            </w:pPr>
            <w:r>
              <w:t xml:space="preserve">2027</w:t>
            </w:r>
          </w:p>
        </w:tc>
        <w:tc>
          <w:tcPr/>
          <w:p>
            <w:pPr>
              <w:pStyle w:val="Compact"/>
              <w:jc w:val="right"/>
            </w:pPr>
            <w:r>
              <w:t xml:space="preserve">1,500</w:t>
            </w:r>
          </w:p>
        </w:tc>
        <w:tc>
          <w:tcPr/>
          <w:p>
            <w:pPr>
              <w:pStyle w:val="Compact"/>
              <w:jc w:val="right"/>
            </w:pPr>
            <w:r>
              <w:t xml:space="preserve">150</w:t>
            </w:r>
          </w:p>
        </w:tc>
        <w:tc>
          <w:tcPr/>
          <w:p>
            <w:pPr>
              <w:pStyle w:val="Compact"/>
              <w:jc w:val="right"/>
            </w:pPr>
            <w:r>
              <w:t xml:space="preserve">0.7913</w:t>
            </w:r>
          </w:p>
        </w:tc>
        <w:tc>
          <w:tcPr/>
          <w:p>
            <w:pPr>
              <w:pStyle w:val="Compact"/>
              <w:jc w:val="right"/>
            </w:pPr>
            <w:r>
              <w:t xml:space="preserve">320.5</w:t>
            </w:r>
          </w:p>
        </w:tc>
        <w:tc>
          <w:tcPr/>
          <w:p>
            <w:pPr>
              <w:pStyle w:val="Compact"/>
              <w:jc w:val="right"/>
            </w:pPr>
            <w:r>
              <w:t xml:space="preserve">102.9</w:t>
            </w:r>
          </w:p>
        </w:tc>
      </w:tr>
      <w:tr>
        <w:tc>
          <w:tcPr/>
          <w:p>
            <w:pPr>
              <w:pStyle w:val="Compact"/>
            </w:pPr>
            <w:r>
              <w:t xml:space="preserve">Compact</w:t>
            </w:r>
          </w:p>
        </w:tc>
        <w:tc>
          <w:tcPr/>
          <w:p>
            <w:pPr>
              <w:pStyle w:val="Compact"/>
              <w:jc w:val="right"/>
            </w:pPr>
            <w:r>
              <w:t xml:space="preserve">2028</w:t>
            </w:r>
          </w:p>
        </w:tc>
        <w:tc>
          <w:tcPr/>
          <w:p>
            <w:pPr>
              <w:pStyle w:val="Compact"/>
              <w:jc w:val="right"/>
            </w:pPr>
            <w:r>
              <w:t xml:space="preserve">2,000</w:t>
            </w:r>
          </w:p>
        </w:tc>
        <w:tc>
          <w:tcPr/>
          <w:p>
            <w:pPr>
              <w:pStyle w:val="Compact"/>
              <w:jc w:val="right"/>
            </w:pPr>
            <w:r>
              <w:t xml:space="preserve">200</w:t>
            </w:r>
          </w:p>
        </w:tc>
        <w:tc>
          <w:tcPr/>
          <w:p>
            <w:pPr>
              <w:pStyle w:val="Compact"/>
              <w:jc w:val="right"/>
            </w:pPr>
            <w:r>
              <w:t xml:space="preserve">0.8067</w:t>
            </w:r>
          </w:p>
        </w:tc>
        <w:tc>
          <w:tcPr/>
          <w:p>
            <w:pPr>
              <w:pStyle w:val="Compact"/>
              <w:jc w:val="right"/>
            </w:pPr>
            <w:r>
              <w:t xml:space="preserve">324.5</w:t>
            </w:r>
          </w:p>
        </w:tc>
        <w:tc>
          <w:tcPr/>
          <w:p>
            <w:pPr>
              <w:pStyle w:val="Compact"/>
              <w:jc w:val="right"/>
            </w:pPr>
            <w:r>
              <w:t xml:space="preserve">105.6</w:t>
            </w:r>
          </w:p>
        </w:tc>
      </w:tr>
      <w:tr>
        <w:tc>
          <w:tcPr/>
          <w:p>
            <w:pPr>
              <w:pStyle w:val="Compact"/>
            </w:pPr>
            <w:r>
              <w:t xml:space="preserve">Compact</w:t>
            </w:r>
          </w:p>
        </w:tc>
        <w:tc>
          <w:tcPr/>
          <w:p>
            <w:pPr>
              <w:pStyle w:val="Compact"/>
              <w:jc w:val="right"/>
            </w:pPr>
            <w:r>
              <w:t xml:space="preserve">2029</w:t>
            </w:r>
          </w:p>
        </w:tc>
        <w:tc>
          <w:tcPr/>
          <w:p>
            <w:pPr>
              <w:pStyle w:val="Compact"/>
              <w:jc w:val="right"/>
            </w:pPr>
            <w:r>
              <w:t xml:space="preserve">2,500</w:t>
            </w:r>
          </w:p>
        </w:tc>
        <w:tc>
          <w:tcPr/>
          <w:p>
            <w:pPr>
              <w:pStyle w:val="Compact"/>
              <w:jc w:val="right"/>
            </w:pPr>
            <w:r>
              <w:t xml:space="preserve">250</w:t>
            </w:r>
          </w:p>
        </w:tc>
        <w:tc>
          <w:tcPr/>
          <w:p>
            <w:pPr>
              <w:pStyle w:val="Compact"/>
              <w:jc w:val="right"/>
            </w:pPr>
            <w:r>
              <w:t xml:space="preserve">0.8217</w:t>
            </w:r>
          </w:p>
        </w:tc>
        <w:tc>
          <w:tcPr/>
          <w:p>
            <w:pPr>
              <w:pStyle w:val="Compact"/>
              <w:jc w:val="right"/>
            </w:pPr>
            <w:r>
              <w:t xml:space="preserve">327.0</w:t>
            </w:r>
          </w:p>
        </w:tc>
        <w:tc>
          <w:tcPr/>
          <w:p>
            <w:pPr>
              <w:pStyle w:val="Compact"/>
              <w:jc w:val="right"/>
            </w:pPr>
            <w:r>
              <w:t xml:space="preserve">108.8</w:t>
            </w:r>
          </w:p>
        </w:tc>
      </w:tr>
      <w:tr>
        <w:tc>
          <w:tcPr/>
          <w:p>
            <w:pPr>
              <w:pStyle w:val="Compact"/>
            </w:pPr>
            <w:r>
              <w:t xml:space="preserve">Compact</w:t>
            </w:r>
          </w:p>
        </w:tc>
        <w:tc>
          <w:tcPr/>
          <w:p>
            <w:pPr>
              <w:pStyle w:val="Compact"/>
              <w:jc w:val="right"/>
            </w:pPr>
            <w:r>
              <w:t xml:space="preserve">2030</w:t>
            </w:r>
          </w:p>
        </w:tc>
        <w:tc>
          <w:tcPr/>
          <w:p>
            <w:pPr>
              <w:pStyle w:val="Compact"/>
              <w:jc w:val="right"/>
            </w:pPr>
            <w:r>
              <w:t xml:space="preserve">3,000</w:t>
            </w:r>
          </w:p>
        </w:tc>
        <w:tc>
          <w:tcPr/>
          <w:p>
            <w:pPr>
              <w:pStyle w:val="Compact"/>
              <w:jc w:val="right"/>
            </w:pPr>
            <w:r>
              <w:t xml:space="preserve">300</w:t>
            </w:r>
          </w:p>
        </w:tc>
        <w:tc>
          <w:tcPr/>
          <w:p>
            <w:pPr>
              <w:pStyle w:val="Compact"/>
              <w:jc w:val="right"/>
            </w:pPr>
            <w:r>
              <w:t xml:space="preserve">0.8318</w:t>
            </w:r>
          </w:p>
        </w:tc>
        <w:tc>
          <w:tcPr/>
          <w:p>
            <w:pPr>
              <w:pStyle w:val="Compact"/>
              <w:jc w:val="right"/>
            </w:pPr>
            <w:r>
              <w:t xml:space="preserve">331.7</w:t>
            </w:r>
          </w:p>
        </w:tc>
        <w:tc>
          <w:tcPr/>
          <w:p>
            <w:pPr>
              <w:pStyle w:val="Compact"/>
              <w:jc w:val="right"/>
            </w:pPr>
            <w:r>
              <w:t xml:space="preserve">112.5</w:t>
            </w:r>
          </w:p>
        </w:tc>
      </w:tr>
      <w:tr>
        <w:tc>
          <w:tcPr/>
          <w:p>
            <w:pPr>
              <w:pStyle w:val="Compact"/>
            </w:pPr>
            <w:r>
              <w:t xml:space="preserve">Compact</w:t>
            </w:r>
          </w:p>
        </w:tc>
        <w:tc>
          <w:tcPr/>
          <w:p>
            <w:pPr>
              <w:pStyle w:val="Compact"/>
              <w:jc w:val="right"/>
            </w:pPr>
            <w:r>
              <w:t xml:space="preserve">2031</w:t>
            </w:r>
          </w:p>
        </w:tc>
        <w:tc>
          <w:tcPr/>
          <w:p>
            <w:pPr>
              <w:pStyle w:val="Compact"/>
              <w:jc w:val="right"/>
            </w:pPr>
            <w:r>
              <w:t xml:space="preserve">3,500</w:t>
            </w:r>
          </w:p>
        </w:tc>
        <w:tc>
          <w:tcPr/>
          <w:p>
            <w:pPr>
              <w:pStyle w:val="Compact"/>
              <w:jc w:val="right"/>
            </w:pPr>
            <w:r>
              <w:t xml:space="preserve">350</w:t>
            </w:r>
          </w:p>
        </w:tc>
        <w:tc>
          <w:tcPr/>
          <w:p>
            <w:pPr>
              <w:pStyle w:val="Compact"/>
              <w:jc w:val="right"/>
            </w:pPr>
            <w:r>
              <w:t xml:space="preserve">0.8410</w:t>
            </w:r>
          </w:p>
        </w:tc>
        <w:tc>
          <w:tcPr/>
          <w:p>
            <w:pPr>
              <w:pStyle w:val="Compact"/>
              <w:jc w:val="right"/>
            </w:pPr>
            <w:r>
              <w:t xml:space="preserve">334.7</w:t>
            </w:r>
          </w:p>
        </w:tc>
        <w:tc>
          <w:tcPr/>
          <w:p>
            <w:pPr>
              <w:pStyle w:val="Compact"/>
              <w:jc w:val="right"/>
            </w:pPr>
            <w:r>
              <w:t xml:space="preserve">116.7</w:t>
            </w:r>
          </w:p>
        </w:tc>
      </w:tr>
      <w:tr>
        <w:tc>
          <w:tcPr/>
          <w:p>
            <w:pPr>
              <w:pStyle w:val="Compact"/>
            </w:pPr>
            <w:r>
              <w:t xml:space="preserve">Eco priority</w:t>
            </w:r>
          </w:p>
        </w:tc>
        <w:tc>
          <w:tcPr/>
          <w:p>
            <w:pPr>
              <w:pStyle w:val="Compact"/>
              <w:jc w:val="right"/>
            </w:pPr>
            <w:r>
              <w:t xml:space="preserve">2027</w:t>
            </w:r>
          </w:p>
        </w:tc>
        <w:tc>
          <w:tcPr/>
          <w:p>
            <w:pPr>
              <w:pStyle w:val="Compact"/>
              <w:jc w:val="right"/>
            </w:pPr>
            <w:r>
              <w:t xml:space="preserve">1,050</w:t>
            </w:r>
          </w:p>
        </w:tc>
        <w:tc>
          <w:tcPr/>
          <w:p>
            <w:pPr>
              <w:pStyle w:val="Compact"/>
              <w:jc w:val="right"/>
            </w:pPr>
            <w:r>
              <w:t xml:space="preserve">450</w:t>
            </w:r>
          </w:p>
        </w:tc>
        <w:tc>
          <w:tcPr/>
          <w:p>
            <w:pPr>
              <w:pStyle w:val="Compact"/>
              <w:jc w:val="right"/>
            </w:pPr>
            <w:r>
              <w:t xml:space="preserve">0.7757</w:t>
            </w:r>
          </w:p>
        </w:tc>
        <w:tc>
          <w:tcPr/>
          <w:p>
            <w:pPr>
              <w:pStyle w:val="Compact"/>
              <w:jc w:val="right"/>
            </w:pPr>
            <w:r>
              <w:t xml:space="preserve">313.3</w:t>
            </w:r>
          </w:p>
        </w:tc>
        <w:tc>
          <w:tcPr/>
          <w:p>
            <w:pPr>
              <w:pStyle w:val="Compact"/>
              <w:jc w:val="right"/>
            </w:pPr>
            <w:r>
              <w:t xml:space="preserve">102.0</w:t>
            </w:r>
          </w:p>
        </w:tc>
      </w:tr>
      <w:tr>
        <w:tc>
          <w:tcPr/>
          <w:p>
            <w:pPr>
              <w:pStyle w:val="Compact"/>
            </w:pPr>
            <w:r>
              <w:t xml:space="preserve">Eco priority</w:t>
            </w:r>
          </w:p>
        </w:tc>
        <w:tc>
          <w:tcPr/>
          <w:p>
            <w:pPr>
              <w:pStyle w:val="Compact"/>
              <w:jc w:val="right"/>
            </w:pPr>
            <w:r>
              <w:t xml:space="preserve">2028</w:t>
            </w:r>
          </w:p>
        </w:tc>
        <w:tc>
          <w:tcPr/>
          <w:p>
            <w:pPr>
              <w:pStyle w:val="Compact"/>
              <w:jc w:val="right"/>
            </w:pPr>
            <w:r>
              <w:t xml:space="preserve">1,400</w:t>
            </w:r>
          </w:p>
        </w:tc>
        <w:tc>
          <w:tcPr/>
          <w:p>
            <w:pPr>
              <w:pStyle w:val="Compact"/>
              <w:jc w:val="right"/>
            </w:pPr>
            <w:r>
              <w:t xml:space="preserve">600</w:t>
            </w:r>
          </w:p>
        </w:tc>
        <w:tc>
          <w:tcPr/>
          <w:p>
            <w:pPr>
              <w:pStyle w:val="Compact"/>
              <w:jc w:val="right"/>
            </w:pPr>
            <w:r>
              <w:t xml:space="preserve">0.8003</w:t>
            </w:r>
          </w:p>
        </w:tc>
        <w:tc>
          <w:tcPr/>
          <w:p>
            <w:pPr>
              <w:pStyle w:val="Compact"/>
              <w:jc w:val="right"/>
            </w:pPr>
            <w:r>
              <w:t xml:space="preserve">314.3</w:t>
            </w:r>
          </w:p>
        </w:tc>
        <w:tc>
          <w:tcPr/>
          <w:p>
            <w:pPr>
              <w:pStyle w:val="Compact"/>
              <w:jc w:val="right"/>
            </w:pPr>
            <w:r>
              <w:t xml:space="preserve">103.8</w:t>
            </w:r>
          </w:p>
        </w:tc>
      </w:tr>
      <w:tr>
        <w:tc>
          <w:tcPr/>
          <w:p>
            <w:pPr>
              <w:pStyle w:val="Compact"/>
            </w:pPr>
            <w:r>
              <w:t xml:space="preserve">Eco priority</w:t>
            </w:r>
          </w:p>
        </w:tc>
        <w:tc>
          <w:tcPr/>
          <w:p>
            <w:pPr>
              <w:pStyle w:val="Compact"/>
              <w:jc w:val="right"/>
            </w:pPr>
            <w:r>
              <w:t xml:space="preserve">2029</w:t>
            </w:r>
          </w:p>
        </w:tc>
        <w:tc>
          <w:tcPr/>
          <w:p>
            <w:pPr>
              <w:pStyle w:val="Compact"/>
              <w:jc w:val="right"/>
            </w:pPr>
            <w:r>
              <w:t xml:space="preserve">1,750</w:t>
            </w:r>
          </w:p>
        </w:tc>
        <w:tc>
          <w:tcPr/>
          <w:p>
            <w:pPr>
              <w:pStyle w:val="Compact"/>
              <w:jc w:val="right"/>
            </w:pPr>
            <w:r>
              <w:t xml:space="preserve">750</w:t>
            </w:r>
          </w:p>
        </w:tc>
        <w:tc>
          <w:tcPr/>
          <w:p>
            <w:pPr>
              <w:pStyle w:val="Compact"/>
              <w:jc w:val="right"/>
            </w:pPr>
            <w:r>
              <w:t xml:space="preserve">0.8141</w:t>
            </w:r>
          </w:p>
        </w:tc>
        <w:tc>
          <w:tcPr/>
          <w:p>
            <w:pPr>
              <w:pStyle w:val="Compact"/>
              <w:jc w:val="right"/>
            </w:pPr>
            <w:r>
              <w:t xml:space="preserve">316.2</w:t>
            </w:r>
          </w:p>
        </w:tc>
        <w:tc>
          <w:tcPr/>
          <w:p>
            <w:pPr>
              <w:pStyle w:val="Compact"/>
              <w:jc w:val="right"/>
            </w:pPr>
            <w:r>
              <w:t xml:space="preserve">106.3</w:t>
            </w:r>
          </w:p>
        </w:tc>
      </w:tr>
      <w:tr>
        <w:tc>
          <w:tcPr/>
          <w:p>
            <w:pPr>
              <w:pStyle w:val="Compact"/>
            </w:pPr>
            <w:r>
              <w:t xml:space="preserve">Eco priority</w:t>
            </w:r>
          </w:p>
        </w:tc>
        <w:tc>
          <w:tcPr/>
          <w:p>
            <w:pPr>
              <w:pStyle w:val="Compact"/>
              <w:jc w:val="right"/>
            </w:pPr>
            <w:r>
              <w:t xml:space="preserve">2030</w:t>
            </w:r>
          </w:p>
        </w:tc>
        <w:tc>
          <w:tcPr/>
          <w:p>
            <w:pPr>
              <w:pStyle w:val="Compact"/>
              <w:jc w:val="right"/>
            </w:pPr>
            <w:r>
              <w:t xml:space="preserve">2,100</w:t>
            </w:r>
          </w:p>
        </w:tc>
        <w:tc>
          <w:tcPr/>
          <w:p>
            <w:pPr>
              <w:pStyle w:val="Compact"/>
              <w:jc w:val="right"/>
            </w:pPr>
            <w:r>
              <w:t xml:space="preserve">900</w:t>
            </w:r>
          </w:p>
        </w:tc>
        <w:tc>
          <w:tcPr/>
          <w:p>
            <w:pPr>
              <w:pStyle w:val="Compact"/>
              <w:jc w:val="right"/>
            </w:pPr>
            <w:r>
              <w:t xml:space="preserve">0.8229</w:t>
            </w:r>
          </w:p>
        </w:tc>
        <w:tc>
          <w:tcPr/>
          <w:p>
            <w:pPr>
              <w:pStyle w:val="Compact"/>
              <w:jc w:val="right"/>
            </w:pPr>
            <w:r>
              <w:t xml:space="preserve">319.5</w:t>
            </w:r>
          </w:p>
        </w:tc>
        <w:tc>
          <w:tcPr/>
          <w:p>
            <w:pPr>
              <w:pStyle w:val="Compact"/>
              <w:jc w:val="right"/>
            </w:pPr>
            <w:r>
              <w:t xml:space="preserve">108.5</w:t>
            </w:r>
          </w:p>
        </w:tc>
      </w:tr>
      <w:tr>
        <w:tc>
          <w:tcPr/>
          <w:p>
            <w:pPr>
              <w:pStyle w:val="Compact"/>
            </w:pPr>
            <w:r>
              <w:t xml:space="preserve">Eco priority</w:t>
            </w:r>
          </w:p>
        </w:tc>
        <w:tc>
          <w:tcPr/>
          <w:p>
            <w:pPr>
              <w:pStyle w:val="Compact"/>
              <w:jc w:val="right"/>
            </w:pPr>
            <w:r>
              <w:t xml:space="preserve">2031</w:t>
            </w:r>
          </w:p>
        </w:tc>
        <w:tc>
          <w:tcPr/>
          <w:p>
            <w:pPr>
              <w:pStyle w:val="Compact"/>
              <w:jc w:val="right"/>
            </w:pPr>
            <w:r>
              <w:t xml:space="preserve">2,450</w:t>
            </w:r>
          </w:p>
        </w:tc>
        <w:tc>
          <w:tcPr/>
          <w:p>
            <w:pPr>
              <w:pStyle w:val="Compact"/>
              <w:jc w:val="right"/>
            </w:pPr>
            <w:r>
              <w:t xml:space="preserve">1,050</w:t>
            </w:r>
          </w:p>
        </w:tc>
        <w:tc>
          <w:tcPr/>
          <w:p>
            <w:pPr>
              <w:pStyle w:val="Compact"/>
              <w:jc w:val="right"/>
            </w:pPr>
            <w:r>
              <w:t xml:space="preserve">0.8332</w:t>
            </w:r>
          </w:p>
        </w:tc>
        <w:tc>
          <w:tcPr/>
          <w:p>
            <w:pPr>
              <w:pStyle w:val="Compact"/>
              <w:jc w:val="right"/>
            </w:pPr>
            <w:r>
              <w:t xml:space="preserve">323.1</w:t>
            </w:r>
          </w:p>
        </w:tc>
        <w:tc>
          <w:tcPr/>
          <w:p>
            <w:pPr>
              <w:pStyle w:val="Compact"/>
              <w:jc w:val="right"/>
            </w:pPr>
            <w:r>
              <w:t xml:space="preserve">111.0</w:t>
            </w:r>
          </w:p>
        </w:tc>
      </w:tr>
      <w:tr>
        <w:tc>
          <w:tcPr/>
          <w:p>
            <w:pPr>
              <w:pStyle w:val="Compact"/>
            </w:pPr>
            <w:r>
              <w:t xml:space="preserve">Outward growth</w:t>
            </w:r>
          </w:p>
        </w:tc>
        <w:tc>
          <w:tcPr/>
          <w:p>
            <w:pPr>
              <w:pStyle w:val="Compact"/>
              <w:jc w:val="right"/>
            </w:pPr>
            <w:r>
              <w:t xml:space="preserve">2027</w:t>
            </w:r>
          </w:p>
        </w:tc>
        <w:tc>
          <w:tcPr/>
          <w:p>
            <w:pPr>
              <w:pStyle w:val="Compact"/>
              <w:jc w:val="right"/>
            </w:pPr>
            <w:r>
              <w:t xml:space="preserve">3,000</w:t>
            </w:r>
          </w:p>
        </w:tc>
        <w:tc>
          <w:tcPr/>
          <w:p>
            <w:pPr>
              <w:pStyle w:val="Compact"/>
              <w:jc w:val="right"/>
            </w:pPr>
            <w:r>
              <w:t xml:space="preserve">75</w:t>
            </w:r>
          </w:p>
        </w:tc>
        <w:tc>
          <w:tcPr/>
          <w:p>
            <w:pPr>
              <w:pStyle w:val="Compact"/>
              <w:jc w:val="right"/>
            </w:pPr>
            <w:r>
              <w:t xml:space="preserve">0.7948</w:t>
            </w:r>
          </w:p>
        </w:tc>
        <w:tc>
          <w:tcPr/>
          <w:p>
            <w:pPr>
              <w:pStyle w:val="Compact"/>
              <w:jc w:val="right"/>
            </w:pPr>
            <w:r>
              <w:t xml:space="preserve">341.5</w:t>
            </w:r>
          </w:p>
        </w:tc>
        <w:tc>
          <w:tcPr/>
          <w:p>
            <w:pPr>
              <w:pStyle w:val="Compact"/>
              <w:jc w:val="right"/>
            </w:pPr>
            <w:r>
              <w:t xml:space="preserve">107.7</w:t>
            </w:r>
          </w:p>
        </w:tc>
      </w:tr>
      <w:tr>
        <w:tc>
          <w:tcPr/>
          <w:p>
            <w:pPr>
              <w:pStyle w:val="Compact"/>
            </w:pPr>
            <w:r>
              <w:t xml:space="preserve">Outward growth</w:t>
            </w:r>
          </w:p>
        </w:tc>
        <w:tc>
          <w:tcPr/>
          <w:p>
            <w:pPr>
              <w:pStyle w:val="Compact"/>
              <w:jc w:val="right"/>
            </w:pPr>
            <w:r>
              <w:t xml:space="preserve">2028</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0.8147</w:t>
            </w:r>
          </w:p>
        </w:tc>
        <w:tc>
          <w:tcPr/>
          <w:p>
            <w:pPr>
              <w:pStyle w:val="Compact"/>
              <w:jc w:val="right"/>
            </w:pPr>
            <w:r>
              <w:t xml:space="preserve">348.2</w:t>
            </w:r>
          </w:p>
        </w:tc>
        <w:tc>
          <w:tcPr/>
          <w:p>
            <w:pPr>
              <w:pStyle w:val="Compact"/>
              <w:jc w:val="right"/>
            </w:pPr>
            <w:r>
              <w:t xml:space="preserve">114.9</w:t>
            </w:r>
          </w:p>
        </w:tc>
      </w:tr>
      <w:tr>
        <w:tc>
          <w:tcPr/>
          <w:p>
            <w:pPr>
              <w:pStyle w:val="Compact"/>
            </w:pPr>
            <w:r>
              <w:t xml:space="preserve">Outward growth</w:t>
            </w:r>
          </w:p>
        </w:tc>
        <w:tc>
          <w:tcPr/>
          <w:p>
            <w:pPr>
              <w:pStyle w:val="Compact"/>
              <w:jc w:val="right"/>
            </w:pPr>
            <w:r>
              <w:t xml:space="preserve">2029</w:t>
            </w:r>
          </w:p>
        </w:tc>
        <w:tc>
          <w:tcPr/>
          <w:p>
            <w:pPr>
              <w:pStyle w:val="Compact"/>
              <w:jc w:val="right"/>
            </w:pPr>
            <w:r>
              <w:t xml:space="preserve">5,000</w:t>
            </w:r>
          </w:p>
        </w:tc>
        <w:tc>
          <w:tcPr/>
          <w:p>
            <w:pPr>
              <w:pStyle w:val="Compact"/>
              <w:jc w:val="right"/>
            </w:pPr>
            <w:r>
              <w:t xml:space="preserve">125</w:t>
            </w:r>
          </w:p>
        </w:tc>
        <w:tc>
          <w:tcPr/>
          <w:p>
            <w:pPr>
              <w:pStyle w:val="Compact"/>
              <w:jc w:val="right"/>
            </w:pPr>
            <w:r>
              <w:t xml:space="preserve">0.8304</w:t>
            </w:r>
          </w:p>
        </w:tc>
        <w:tc>
          <w:tcPr/>
          <w:p>
            <w:pPr>
              <w:pStyle w:val="Compact"/>
              <w:jc w:val="right"/>
            </w:pPr>
            <w:r>
              <w:t xml:space="preserve">354.4</w:t>
            </w:r>
          </w:p>
        </w:tc>
        <w:tc>
          <w:tcPr/>
          <w:p>
            <w:pPr>
              <w:pStyle w:val="Compact"/>
              <w:jc w:val="right"/>
            </w:pPr>
            <w:r>
              <w:t xml:space="preserve">123.0</w:t>
            </w:r>
          </w:p>
        </w:tc>
      </w:tr>
      <w:tr>
        <w:tc>
          <w:tcPr/>
          <w:p>
            <w:pPr>
              <w:pStyle w:val="Compact"/>
            </w:pPr>
            <w:r>
              <w:t xml:space="preserve">Outward growth</w:t>
            </w:r>
          </w:p>
        </w:tc>
        <w:tc>
          <w:tcPr/>
          <w:p>
            <w:pPr>
              <w:pStyle w:val="Compact"/>
              <w:jc w:val="right"/>
            </w:pPr>
            <w:r>
              <w:t xml:space="preserve">2030</w:t>
            </w:r>
          </w:p>
        </w:tc>
        <w:tc>
          <w:tcPr/>
          <w:p>
            <w:pPr>
              <w:pStyle w:val="Compact"/>
              <w:jc w:val="right"/>
            </w:pPr>
            <w:r>
              <w:t xml:space="preserve">6,000</w:t>
            </w:r>
          </w:p>
        </w:tc>
        <w:tc>
          <w:tcPr/>
          <w:p>
            <w:pPr>
              <w:pStyle w:val="Compact"/>
              <w:jc w:val="right"/>
            </w:pPr>
            <w:r>
              <w:t xml:space="preserve">150</w:t>
            </w:r>
          </w:p>
        </w:tc>
        <w:tc>
          <w:tcPr/>
          <w:p>
            <w:pPr>
              <w:pStyle w:val="Compact"/>
              <w:jc w:val="right"/>
            </w:pPr>
            <w:r>
              <w:t xml:space="preserve">0.8444</w:t>
            </w:r>
          </w:p>
        </w:tc>
        <w:tc>
          <w:tcPr/>
          <w:p>
            <w:pPr>
              <w:pStyle w:val="Compact"/>
              <w:jc w:val="right"/>
            </w:pPr>
            <w:r>
              <w:t xml:space="preserve">359.5</w:t>
            </w:r>
          </w:p>
        </w:tc>
        <w:tc>
          <w:tcPr/>
          <w:p>
            <w:pPr>
              <w:pStyle w:val="Compact"/>
              <w:jc w:val="right"/>
            </w:pPr>
            <w:r>
              <w:t xml:space="preserve">131.5</w:t>
            </w:r>
          </w:p>
        </w:tc>
      </w:tr>
      <w:tr>
        <w:tc>
          <w:tcPr/>
          <w:p>
            <w:pPr>
              <w:pStyle w:val="Compact"/>
            </w:pPr>
            <w:r>
              <w:t xml:space="preserve">Outward growth</w:t>
            </w:r>
          </w:p>
        </w:tc>
        <w:tc>
          <w:tcPr/>
          <w:p>
            <w:pPr>
              <w:pStyle w:val="Compact"/>
              <w:jc w:val="right"/>
            </w:pPr>
            <w:r>
              <w:t xml:space="preserve">2031</w:t>
            </w:r>
          </w:p>
        </w:tc>
        <w:tc>
          <w:tcPr/>
          <w:p>
            <w:pPr>
              <w:pStyle w:val="Compact"/>
              <w:jc w:val="right"/>
            </w:pPr>
            <w:r>
              <w:t xml:space="preserve">7,000</w:t>
            </w:r>
          </w:p>
        </w:tc>
        <w:tc>
          <w:tcPr/>
          <w:p>
            <w:pPr>
              <w:pStyle w:val="Compact"/>
              <w:jc w:val="right"/>
            </w:pPr>
            <w:r>
              <w:t xml:space="preserve">175</w:t>
            </w:r>
          </w:p>
        </w:tc>
        <w:tc>
          <w:tcPr/>
          <w:p>
            <w:pPr>
              <w:pStyle w:val="Compact"/>
              <w:jc w:val="right"/>
            </w:pPr>
            <w:r>
              <w:t xml:space="preserve">0.8545</w:t>
            </w:r>
          </w:p>
        </w:tc>
        <w:tc>
          <w:tcPr/>
          <w:p>
            <w:pPr>
              <w:pStyle w:val="Compact"/>
              <w:jc w:val="right"/>
            </w:pPr>
            <w:r>
              <w:t xml:space="preserve">365.5</w:t>
            </w:r>
          </w:p>
        </w:tc>
        <w:tc>
          <w:tcPr/>
          <w:p>
            <w:pPr>
              <w:pStyle w:val="Compact"/>
              <w:jc w:val="right"/>
            </w:pPr>
            <w:r>
              <w:t xml:space="preserve">139.8</w:t>
            </w:r>
          </w:p>
        </w:tc>
      </w:tr>
    </w:tbl>
    <w:p>
      <w:pPr>
        <w:pStyle w:val="BodyText"/>
      </w:pPr>
      <w:r>
        <w:t xml:space="preserve">For delivery, each model and scenario has an ensemble raster for each year 2027–2031 and a vector package containing annual and cumulative transition layers. The nine GeoPackage packages contain polygons formed by dissolving changed 100-m cells; they are therefore raster-cell transition footprints rather than parcel boundaries. This distinction matters for downstream planning because the polygons can support visual review and overlay analysis, but they do not represent cadastral lots or legally approved projects. The 2031 state and transition footprints are visualized in Fig. 5.</w:t>
      </w:r>
    </w:p>
    <w:bookmarkEnd w:id="17"/>
    <w:bookmarkStart w:id="18"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A post-hoc three-seed sensitivity run varied this weight from 0 to 0.7. Mean 2023 change FoM was 0.19997, 0.20042, 0.20035 and 0.20010 at weights 0, 0.175, 0.35 and 0.7. The corresponding 2024 means were 0.26079, 0.26069, 0.26058 and 0.26034. The variation is small relative to the difference between the Kernel and GeoSOS-FLUS in the main benchmark, and it motivates the explicit mechanism controls below rather than a causal claim about neighbourhood context.</w:t>
      </w:r>
    </w:p>
    <w:bookmarkEnd w:id="18"/>
    <w:bookmarkStart w:id="19" w:name="Xb4da06261b5a2056ba43f7c28dc24c9379bfe9e"/>
    <w:p>
      <w:pPr>
        <w:pStyle w:val="Heading3"/>
      </w:pPr>
      <w:r>
        <w:t xml:space="preserve">Mechanism controls separate learned proposal from runtime projection</w:t>
      </w:r>
    </w:p>
    <w:p>
      <w:pPr>
        <w:pStyle w:val="FirstParagraph"/>
      </w:pPr>
      <w:r>
        <w:t xml:space="preserve">We next used controlled variants to test which parts of the execution contract</w:t>
      </w:r>
      <w:r>
        <w:t xml:space="preserve"> </w:t>
      </w:r>
      <w:r>
        <w:t xml:space="preserve">are consistent with the observed differences. These are mechanism controls,</w:t>
      </w:r>
      <w:r>
        <w:t xml:space="preserve"> </w:t>
      </w:r>
      <w:r>
        <w:t xml:space="preserve">not causal policy experiments. Removing neighbourhood features from the</w:t>
      </w:r>
      <w:r>
        <w:t xml:space="preserve"> </w:t>
      </w:r>
      <w:r>
        <w:t xml:space="preserve">proposal reduced mean change FoM from 0.2004 to 0.1359 in 2023 and from 0.2606</w:t>
      </w:r>
      <w:r>
        <w:t xml:space="preserve"> </w:t>
      </w:r>
      <w:r>
        <w:t xml:space="preserve">to 0.2345 in 2024. Removing continuous spatial drivers produced smaller but</w:t>
      </w:r>
      <w:r>
        <w:t xml:space="preserve"> </w:t>
      </w:r>
      <w:r>
        <w:t xml:space="preserve">consistent reductions (0.1969 and 0.2415), while shuffling those drivers gave</w:t>
      </w:r>
      <w:r>
        <w:t xml:space="preserve"> </w:t>
      </w:r>
      <w:r>
        <w:t xml:space="preserve">0.1951 and 0.2423. A state-only/Markov proposal gave 0.1475 and 0.2048, and a</w:t>
      </w:r>
      <w:r>
        <w:t xml:space="preserve"> </w:t>
      </w:r>
      <w:r>
        <w:t xml:space="preserve">random proposal gave 0.0283 and 0.0696. These contrasts support the value of</w:t>
      </w:r>
      <w:r>
        <w:t xml:space="preserve"> </w:t>
      </w:r>
      <w:r>
        <w:t xml:space="preserve">neighbourhood and spatial-driver information for historical allocation, while</w:t>
      </w:r>
      <w:r>
        <w:t xml:space="preserve"> </w:t>
      </w:r>
      <w:r>
        <w:t xml:space="preserve">also showing that the full learner is not equivalent to a persistence rule.</w:t>
      </w:r>
    </w:p>
    <w:p>
      <w:pPr>
        <w:pStyle w:val="BodyText"/>
      </w:pPr>
      <w:r>
        <w:t xml:space="preserve">Runtime controls changed the interpretation of the result. Deleting the action</w:t>
      </w:r>
      <w:r>
        <w:t xml:space="preserve"> </w:t>
      </w:r>
      <w:r>
        <w:t xml:space="preserve">semantics reduced change FoM by 0.1161 in 2023 and 0.1760 in 2024. Shuffling</w:t>
      </w:r>
      <w:r>
        <w:t xml:space="preserve"> </w:t>
      </w:r>
      <w:r>
        <w:t xml:space="preserve">the action had a small positive effect at the one-step horizon (+0.0071) but a</w:t>
      </w:r>
      <w:r>
        <w:t xml:space="preserve"> </w:t>
      </w:r>
      <w:r>
        <w:t xml:space="preserve">negative effect in the two-step rollout (−0.0937), demonstrating that action</w:t>
      </w:r>
      <w:r>
        <w:t xml:space="preserve"> </w:t>
      </w:r>
      <w:r>
        <w:t xml:space="preserve">sensitivity is horizon-dependent rather than monotonically harmful. Removing</w:t>
      </w:r>
      <w:r>
        <w:t xml:space="preserve"> </w:t>
      </w:r>
      <w:r>
        <w:t xml:space="preserve">the allocation neighbourhood term changed FoM by less than 0.001 in either</w:t>
      </w:r>
      <w:r>
        <w:t xml:space="preserve"> </w:t>
      </w:r>
      <w:r>
        <w:t xml:space="preserve">year, whereas removing state writeback had little effect in 2023 but increased</w:t>
      </w:r>
      <w:r>
        <w:t xml:space="preserve"> </w:t>
      </w:r>
      <w:r>
        <w:t xml:space="preserve">the 2024 FoM by 0.0110; these controls therefore do not isolate a single</w:t>
      </w:r>
      <w:r>
        <w:t xml:space="preserve"> </w:t>
      </w:r>
      <w:r>
        <w:t xml:space="preserve">source of historical skill.</w:t>
      </w:r>
    </w:p>
    <w:p>
      <w:pPr>
        <w:pStyle w:val="BodyText"/>
      </w:pPr>
      <w:r>
        <w:t xml:space="preserve">The planning controls clarify why morphology cannot be attributed to the</w:t>
      </w:r>
      <w:r>
        <w:t xml:space="preserve"> </w:t>
      </w:r>
      <w:r>
        <w:t xml:space="preserve">learned proposal alone. At 2031, the full Kernel compactness was 0.841, 0.833</w:t>
      </w:r>
      <w:r>
        <w:t xml:space="preserve"> </w:t>
      </w:r>
      <w:r>
        <w:t xml:space="preserve">and 0.855 for compact, ecological-priority and outward-growth actions. Removing</w:t>
      </w:r>
      <w:r>
        <w:t xml:space="preserve"> </w:t>
      </w:r>
      <w:r>
        <w:t xml:space="preserve">the allocator neighbourhood term changed these values to 0.834, 0.822 and</w:t>
      </w:r>
      <w:r>
        <w:t xml:space="preserve"> </w:t>
      </w:r>
      <w:r>
        <w:t xml:space="preserve">0.851, whereas removing state writeback reduced them to 0.694, 0.693 and</w:t>
      </w:r>
      <w:r>
        <w:t xml:space="preserve"> </w:t>
      </w:r>
      <w:r>
        <w:t xml:space="preserve">0.738. A Markov proposal paired with the same allocator was even more compact</w:t>
      </w:r>
      <w:r>
        <w:t xml:space="preserve"> </w:t>
      </w:r>
      <w:r>
        <w:t xml:space="preserve">(0.902, 0.909 and 0.903), showing that the planning objective and shared</w:t>
      </w:r>
      <w:r>
        <w:t xml:space="preserve"> </w:t>
      </w:r>
      <w:r>
        <w:t xml:space="preserve">projection can dominate the visual morphology. Deleting hard constraints</w:t>
      </w:r>
      <w:r>
        <w:t xml:space="preserve"> </w:t>
      </w:r>
      <w:r>
        <w:t xml:space="preserve">introduced 0.79%, 0.85% and 1.48% violation rates in the three scenarios,</w:t>
      </w:r>
      <w:r>
        <w:t xml:space="preserve"> </w:t>
      </w:r>
      <w:r>
        <w:t xml:space="preserve">despite sometimes improving unconstrained objective values. Taken together,</w:t>
      </w:r>
      <w:r>
        <w:t xml:space="preserve"> </w:t>
      </w:r>
      <w:r>
        <w:t xml:space="preserve">the controls support the claim that Geospatial Kernel is auditable and that</w:t>
      </w:r>
      <w:r>
        <w:t xml:space="preserve"> </w:t>
      </w:r>
      <w:r>
        <w:t xml:space="preserve">its proposal features matter for historical allocation, but they do not</w:t>
      </w:r>
      <w:r>
        <w:t xml:space="preserve"> </w:t>
      </w:r>
      <w:r>
        <w:t xml:space="preserve">identify a unique causal mechanism for the planning advantage. The full set of controls is shown in Fig. 4.</w:t>
      </w:r>
    </w:p>
    <w:bookmarkEnd w:id="19"/>
    <w:bookmarkEnd w:id="20"/>
    <w:bookmarkStart w:id="21" w:name="discussion"/>
    <w:p>
      <w:pPr>
        <w:pStyle w:val="Heading2"/>
      </w:pPr>
      <w:r>
        <w:t xml:space="preserve">Discussion</w:t>
      </w:r>
    </w:p>
    <w:p>
      <w:pPr>
        <w:pStyle w:val="FirstParagraph"/>
      </w:pPr>
      <w:r>
        <w:t xml:space="preserve">This study positions Geospatial Kernel at the level where a Geospatial World Model becomes usable for constrained spatial reasoning. The key result is not that one classifier wins every temporal test. It is that the transition proposal and the planning admission rule can be represented separately, inspected separately and evaluated under the same action and constraint contract. In Abu Dhabi, this design produced exact target counts, zero hard-constraint violations and spatial allocations that were more compact and closer to major roads and prior built cells than the two baselines under the declared 2031 objective set.</w:t>
      </w:r>
    </w:p>
    <w:p>
      <w:pPr>
        <w:pStyle w:val="BodyText"/>
      </w:pPr>
      <w:r>
        <w:t xml:space="preserve">The historical results place that planning result in context. Geospatial Kernel had the strongest one-step 2023 allocation score, but Paper58 had the strongest 2024 two-step open-loop score. A model that performs well at one horizon can lose its advantage when its own output becomes the next input. The appropriate conclusion is therefore task-specific: Geospatial Kernel is promising as a constrained allocation core, whereas Paper58 may be competitive for longer-horizon latent-state evolution in this public-data experiment. The benchmark does not support selecting one model as the universally most accurate future predictor.</w:t>
      </w:r>
    </w:p>
    <w:p>
      <w:pPr>
        <w:pStyle w:val="BodyText"/>
      </w:pPr>
      <w:r>
        <w:t xml:space="preserve">The spatial objective differences are consistent with the design of the Kernel projection. The score compares the learned probability of a target class with that of the current class and adds local support from the target-class neighbourhood. The projection then resolves deficits and excesses while refusing mutable changes inside the hard mask. This makes it natural for the Kernel to retain existing built cells and to fill target classes near already compatible neighbourhoods. The allocator-matched controls above qualify this interpretation: planning morphology also depends on the shared projection and recursive state handling, and the present experiments do not identify a single causal pathway.</w:t>
      </w:r>
    </w:p>
    <w:p>
      <w:pPr>
        <w:pStyle w:val="BodyText"/>
      </w:pPr>
      <w:r>
        <w:t xml:space="preserve">Several limitations define the boundary of the present evidence. The six classes are remote-sensing land cover, not statutory residential, commercial or industrial land use. Dynamic World labels show substantial annual uncertainty and apparent turnover, and the public road, wetland and protected-area layers are proxies rather than Abu Dhabi planning records. Future drivers are frozen at 2024, no observed 2025–2031 labels exist for validation and the scenario targets are synthetic planner-supplied actions. The three-seed summaries quantify stochastic variation but are not population-level uncertainty intervals. The completed controls are public-data stress tests with matched seeds rather than randomized interventions on real planning decisions, and several variants alter more than one implementation detail at a time. We therefore report them as evidence consistent with the execution contract rather than as causal attribution.</w:t>
      </w:r>
    </w:p>
    <w:p>
      <w:pPr>
        <w:pStyle w:val="BodyText"/>
      </w:pPr>
      <w:r>
        <w:t xml:space="preserve">These limitations also indicate a practical path to deployment. An authoritative version would replace the Dynamic World class raster with a locally validated land-use/land-cover crosswalk, replace public proxy masks with statutory water, ecological, airport, port and growth-boundary layers, and supply approved development demand and infrastructure capacities. The Kernel contract can remain unchanged while those domain inputs are upgraded. This separation is useful for governance: a new data source changes the evidence attached to a transition, rather than silently changing the meaning of the execution trace.</w:t>
      </w:r>
    </w:p>
    <w:bookmarkEnd w:id="21"/>
    <w:bookmarkStart w:id="29" w:name="methods"/>
    <w:p>
      <w:pPr>
        <w:pStyle w:val="Heading2"/>
      </w:pPr>
      <w:r>
        <w:t xml:space="preserve">Methods</w:t>
      </w:r>
    </w:p>
    <w:bookmarkStart w:id="22" w:name="Xbffb9f76145a15c16a91fe0938c182a8beaf14a"/>
    <w:p>
      <w:pPr>
        <w:pStyle w:val="Heading3"/>
      </w:pPr>
      <w:r>
        <w:t xml:space="preserve">Study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22"/>
    <w:bookmarkStart w:id="23" w:name="public-data-and-class-semantics"/>
    <w:p>
      <w:pPr>
        <w:pStyle w:val="Heading3"/>
      </w:pPr>
      <w:r>
        <w:t xml:space="preserve">Public data and class semantics</w:t>
      </w:r>
    </w:p>
    <w:p>
      <w:pPr>
        <w:pStyle w:val="FirstParagraph"/>
      </w:pPr>
      <w:r>
        <w:t xml:space="preserve">Dynamic World V1 provides annual scene-argmax labels and mean top-class probabilities [2].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[5]. All dynamic and static layers were checked for exact CRS, transform, width and height agreement.</w:t>
      </w:r>
    </w:p>
    <w:bookmarkEnd w:id="23"/>
    <w:bookmarkStart w:id="24"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24"/>
    <w:bookmarkStart w:id="25"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25"/>
    <w:bookmarkStart w:id="26" w:name="baselines-and-common-evaluator"/>
    <w:p>
      <w:pPr>
        <w:pStyle w:val="Heading3"/>
      </w:pPr>
      <w:r>
        <w:t xml:space="preserve">Baselines and common evaluator</w:t>
      </w:r>
    </w:p>
    <w:p>
      <w:pPr>
        <w:pStyle w:val="FirstParagraph"/>
      </w:pPr>
      <w:r>
        <w:t xml:space="preserve">GeoSOS-FLUS was run through the external FLUS console using seven continuous drivers: coordinates, elevation, slope, VIIRS radiance, distance to roads and distance to major roads. Its ANN suitability surface was passed to a cellular-automata allocation stage with the common class totals and public hard mask.</w:t>
      </w:r>
    </w:p>
    <w:p>
      <w:pPr>
        <w:pStyle w:val="BodyText"/>
      </w:pPr>
      <w:r>
        <w:t xml:space="preserve">Paper58 was trained as a demand-conditioned latent-dynamics network on AlphaEarth embeddings. A logistic semantic decoder maps the predicted embedding to six class probabilities, and the constrained allocation step converts those probabilities to a categorical raster. The latent and categorical states are both recursively carried into the next year. Paper58 is treated as an internal benchmark implementation in this manuscript; no external publication or performance claim is attributed to the name.</w:t>
      </w:r>
    </w:p>
    <w:p>
      <w:pPr>
        <w:pStyle w:val="BodyText"/>
      </w:pPr>
      <w:r>
        <w:t xml:space="preserve">The common evaluator computes actual class counts, normalized demand total variation, hard-mask violations, change FoM, change F1, overall accuracy and macro-F1 for historical runs. For planning runs it additionally computes ecological conversion, new-built neighbourhood compactness, component counts, distances to roads and prior built cells, infrastructure proxy distance and built retirement. Pareto membership is calculated over seven declared objective directions: minimize demand total variation, ecological conversion, major-road distance and prior-built distance; maximize compactness, built gain and green gain.</w:t>
      </w:r>
    </w:p>
    <w:bookmarkEnd w:id="26"/>
    <w:bookmarkStart w:id="27" w:name="scenario-actions-and-uncertainty"/>
    <w:p>
      <w:pPr>
        <w:pStyle w:val="Heading3"/>
      </w:pPr>
      <w:r>
        <w:t xml:space="preserve">Scenario actions and uncertainty</w:t>
      </w:r>
    </w:p>
    <w:p>
      <w:pPr>
        <w:pStyle w:val="FirstParagraph"/>
      </w:pPr>
      <w:r>
        <w:t xml:space="preserve">The compact, ecological-priority and outward-growth actions are stored in the planning-scenario manifest in the benchmark directory. Each action supplies feasible class totals for 2025–2031. The 2031 totals are an explicit extension of the previous annual difference and are not derived from an official population, housing or infrastructure forecast. Future exogenous rasters are held at their 2024 values. Each candidate is run at seeds 31, 47 and 73, and planning tables report arithmetic means and population standard deviations. No p-values are reported because the three seeds describe computational variability, not independent field samples.</w:t>
      </w:r>
    </w:p>
    <w:bookmarkEnd w:id="27"/>
    <w:bookmarkStart w:id="28"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output manifest covers 45 ensemble rasters for 2027–2031 and nine vector packages. Every published raster passed the grid, class, nodata and hard-constraint audit. The vector layers preserve the raster-cell geometry and should not be interpreted as cadastral parcels.</w:t>
      </w:r>
    </w:p>
    <w:bookmarkEnd w:id="28"/>
    <w:bookmarkEnd w:id="29"/>
    <w:bookmarkStart w:id="30"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comparison_report.json</w:t>
      </w:r>
      <w:r>
        <w:t xml:space="preserve"> </w:t>
      </w:r>
      <w:r>
        <w:t xml:space="preserve">and</w:t>
      </w:r>
      <w:r>
        <w:t xml:space="preserve"> </w:t>
      </w:r>
      <w:r>
        <w:rPr>
          <w:rStyle w:val="VerbatimChar"/>
        </w:rPr>
        <w:t xml:space="preserve">comparison_report.md</w:t>
      </w:r>
      <w:r>
        <w:t xml:space="preserve"> </w:t>
      </w:r>
      <w:r>
        <w:t xml:space="preserve">for historical metrics;</w:t>
      </w:r>
    </w:p>
    <w:p>
      <w:pPr>
        <w:pStyle w:val="Compact"/>
        <w:numPr>
          <w:ilvl w:val="0"/>
          <w:numId w:val="1002"/>
        </w:numPr>
      </w:pPr>
      <w:r>
        <w:rPr>
          <w:rStyle w:val="VerbatimChar"/>
        </w:rPr>
        <w:t xml:space="preserve">planning_comparison_report_public_2025_2031.json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planning_scenario_report_public_2025_2031.json</w:t>
      </w:r>
      <w:r>
        <w:t xml:space="preserve"> </w:t>
      </w:r>
      <w:r>
        <w:t xml:space="preserve">for per-seed rollout traces;</w:t>
      </w:r>
    </w:p>
    <w:p>
      <w:pPr>
        <w:pStyle w:val="Compact"/>
        <w:numPr>
          <w:ilvl w:val="0"/>
          <w:numId w:val="1002"/>
        </w:numPr>
      </w:pPr>
      <w:r>
        <w:rPr>
          <w:rStyle w:val="VerbatimChar"/>
        </w:rPr>
        <w:t xml:space="preserve">planning_public_2025_2031_delivery_manifest.json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240-raster audit;</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Large raster files are tracked through repository-relative paths and SHA-256 manifests rather than embedded in this manuscript. No private database address, credential or client-only service is required to reproduce the public-data benchmark.</w:t>
      </w:r>
    </w:p>
    <w:bookmarkEnd w:id="30"/>
    <w:bookmarkStart w:id="31" w:name="code-availability"/>
    <w:p>
      <w:pPr>
        <w:pStyle w:val="Heading2"/>
      </w:pPr>
      <w:r>
        <w:t xml:space="preserve">Code availability</w:t>
      </w:r>
    </w:p>
    <w:p>
      <w:pPr>
        <w:pStyle w:val="FirstParagraph"/>
      </w:pPr>
      <w:r>
        <w:t xml:space="preserve">The analysis scripts, Geospatial Kernel runtime, benchmark protocol and figure-generation code are maintained in the accompanying repository. The principal entry points are</w:t>
      </w:r>
      <w:r>
        <w:t xml:space="preserve"> </w:t>
      </w:r>
      <w:r>
        <w:rPr>
          <w:rStyle w:val="VerbatimChar"/>
        </w:rPr>
        <w:t xml:space="preserve">run_geospatial_kernel.py</w:t>
      </w:r>
      <w:r>
        <w:t xml:space="preserve">,</w:t>
      </w:r>
      <w:r>
        <w:t xml:space="preserve"> </w:t>
      </w:r>
      <w:r>
        <w:rPr>
          <w:rStyle w:val="VerbatimChar"/>
        </w:rPr>
        <w:t xml:space="preserve">data_agent/uwm/geospatial_kernel/runtime.py</w:t>
      </w:r>
      <w:r>
        <w:t xml:space="preserve"> </w:t>
      </w:r>
      <w:r>
        <w:t xml:space="preserve">and</w:t>
      </w:r>
      <w:r>
        <w:t xml:space="preserve"> </w:t>
      </w:r>
      <w:r>
        <w:rPr>
          <w:rStyle w:val="VerbatimChar"/>
        </w:rPr>
        <w:t xml:space="preserve">render_nature_figures.py</w:t>
      </w:r>
      <w:r>
        <w:t xml:space="preserve">. A public repository URL and archival DOI will be added after release review; until then, the repository-relative paths and manifests define the reproducible code and data record.</w:t>
      </w:r>
    </w:p>
    <w:bookmarkEnd w:id="31"/>
    <w:bookmarkStart w:id="32"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The author declares no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2"/>
    <w:bookmarkStart w:id="39" w:name="references"/>
    <w:p>
      <w:pPr>
        <w:pStyle w:val="Heading2"/>
      </w:pPr>
      <w:r>
        <w:t xml:space="preserve">References</w:t>
      </w:r>
    </w:p>
    <w:p>
      <w:pPr>
        <w:pStyle w:val="Compact"/>
        <w:numPr>
          <w:ilvl w:val="0"/>
          <w:numId w:val="1003"/>
        </w:numPr>
      </w:pPr>
      <w:r>
        <w:t xml:space="preserve">Liu, X. et al. A future land use simulation model (FLUS) for simulating multiple land use scenarios by coupling human and natural effects.</w:t>
      </w:r>
      <w:r>
        <w:t xml:space="preserve"> </w:t>
      </w:r>
      <w:r>
        <w:rPr>
          <w:i/>
          <w:iCs/>
        </w:rPr>
        <w:t xml:space="preserve">Landscape and Urban Planning</w:t>
      </w:r>
      <w:r>
        <w:t xml:space="preserve"> </w:t>
      </w:r>
      <w:r>
        <w:rPr>
          <w:b/>
          <w:bCs/>
        </w:rPr>
        <w:t xml:space="preserve">168</w:t>
      </w:r>
      <w:r>
        <w:t xml:space="preserve">, 94–116 (2017).</w:t>
      </w:r>
      <w:r>
        <w:t xml:space="preserve"> </w:t>
      </w:r>
      <w:hyperlink r:id="rId33">
        <w:r>
          <w:rPr>
            <w:rStyle w:val="Hyperlink"/>
          </w:rPr>
          <w:t xml:space="preserve">https://doi.org/10.1016/j.landurbplan.2017.09.019</w:t>
        </w:r>
      </w:hyperlink>
    </w:p>
    <w:p>
      <w:pPr>
        <w:pStyle w:val="Compact"/>
        <w:numPr>
          <w:ilvl w:val="0"/>
          <w:numId w:val="1003"/>
        </w:numPr>
      </w:pPr>
      <w:r>
        <w:t xml:space="preserve">Brown, C. F. et al. Dynamic World, Near real-time global 10 m land use land cover mapping.</w:t>
      </w:r>
      <w:r>
        <w:t xml:space="preserve"> </w:t>
      </w:r>
      <w:r>
        <w:rPr>
          <w:i/>
          <w:iCs/>
        </w:rPr>
        <w:t xml:space="preserve">Scientific Data</w:t>
      </w:r>
      <w:r>
        <w:t xml:space="preserve"> </w:t>
      </w:r>
      <w:r>
        <w:rPr>
          <w:b/>
          <w:bCs/>
        </w:rPr>
        <w:t xml:space="preserve">9</w:t>
      </w:r>
      <w:r>
        <w:t xml:space="preserve">, 251 (2022).</w:t>
      </w:r>
      <w:r>
        <w:t xml:space="preserve"> </w:t>
      </w:r>
      <w:hyperlink r:id="rId34">
        <w:r>
          <w:rPr>
            <w:rStyle w:val="Hyperlink"/>
          </w:rPr>
          <w:t xml:space="preserve">https://doi.org/10.1038/s41597-022-01307-4</w:t>
        </w:r>
      </w:hyperlink>
    </w:p>
    <w:p>
      <w:pPr>
        <w:pStyle w:val="Compact"/>
        <w:numPr>
          <w:ilvl w:val="0"/>
          <w:numId w:val="1003"/>
        </w:numPr>
      </w:pPr>
      <w:r>
        <w:t xml:space="preserve">Gorelick, N. et al. Google Earth Engine: Planetary-scale geospatial analysis for everyone.</w:t>
      </w:r>
      <w:r>
        <w:t xml:space="preserve"> </w:t>
      </w:r>
      <w:r>
        <w:rPr>
          <w:i/>
          <w:iCs/>
        </w:rPr>
        <w:t xml:space="preserve">Remote Sensing of Environment</w:t>
      </w:r>
      <w:r>
        <w:t xml:space="preserve"> </w:t>
      </w:r>
      <w:r>
        <w:rPr>
          <w:b/>
          <w:bCs/>
        </w:rPr>
        <w:t xml:space="preserve">202</w:t>
      </w:r>
      <w:r>
        <w:t xml:space="preserve">, 18–27 (2017).</w:t>
      </w:r>
      <w:r>
        <w:t xml:space="preserve"> </w:t>
      </w:r>
      <w:hyperlink r:id="rId35">
        <w:r>
          <w:rPr>
            <w:rStyle w:val="Hyperlink"/>
          </w:rPr>
          <w:t xml:space="preserve">https://doi.org/10.1016/j.rse.2017.06.031</w:t>
        </w:r>
      </w:hyperlink>
    </w:p>
    <w:p>
      <w:pPr>
        <w:pStyle w:val="Compact"/>
        <w:numPr>
          <w:ilvl w:val="0"/>
          <w:numId w:val="1003"/>
        </w:numPr>
      </w:pPr>
      <w:r>
        <w:t xml:space="preserve">Pontius, R. G. Jr &amp; Millones, M. Death to Kappa: birth of quantity disagreement and allocation disagreement for accuracy assessment.</w:t>
      </w:r>
      <w:r>
        <w:t xml:space="preserve"> </w:t>
      </w:r>
      <w:r>
        <w:rPr>
          <w:i/>
          <w:iCs/>
        </w:rPr>
        <w:t xml:space="preserve">International Journal of Remote Sensing</w:t>
      </w:r>
      <w:r>
        <w:t xml:space="preserve"> </w:t>
      </w:r>
      <w:r>
        <w:rPr>
          <w:b/>
          <w:bCs/>
        </w:rPr>
        <w:t xml:space="preserve">32</w:t>
      </w:r>
      <w:r>
        <w:t xml:space="preserve">, 4407–4429 (2011).</w:t>
      </w:r>
      <w:r>
        <w:t xml:space="preserve"> </w:t>
      </w:r>
      <w:hyperlink r:id="rId36">
        <w:r>
          <w:rPr>
            <w:rStyle w:val="Hyperlink"/>
          </w:rPr>
          <w:t xml:space="preserve">https://doi.org/10.1080/01431161.2011.552923</w:t>
        </w:r>
      </w:hyperlink>
    </w:p>
    <w:p>
      <w:pPr>
        <w:pStyle w:val="Compact"/>
        <w:numPr>
          <w:ilvl w:val="0"/>
          <w:numId w:val="1003"/>
        </w:numPr>
      </w:pPr>
      <w:r>
        <w:t xml:space="preserve">Zanaga, D. et al. ESA WorldCover 10 m 2021 v200. Zenodo (2022).</w:t>
      </w:r>
      <w:r>
        <w:t xml:space="preserve"> </w:t>
      </w:r>
      <w:hyperlink r:id="rId37">
        <w:r>
          <w:rPr>
            <w:rStyle w:val="Hyperlink"/>
          </w:rPr>
          <w:t xml:space="preserve">https://doi.org/10.5281/zenodo.7254221</w:t>
        </w:r>
      </w:hyperlink>
    </w:p>
    <w:p>
      <w:pPr>
        <w:pStyle w:val="Compact"/>
        <w:numPr>
          <w:ilvl w:val="0"/>
          <w:numId w:val="1003"/>
        </w:numPr>
      </w:pPr>
      <w:r>
        <w:t xml:space="preserve">OpenStreetMap contributors. OpenStreetMap data, Abu Dhabi relation R4479763 and Geofabrik GCC extract, accessed 31 July 2026.</w:t>
      </w:r>
      <w:r>
        <w:t xml:space="preserve"> </w:t>
      </w:r>
      <w:hyperlink r:id="rId38">
        <w:r>
          <w:rPr>
            <w:rStyle w:val="Hyperlink"/>
          </w:rPr>
          <w:t xml:space="preserve">https://www.openstreetmap.org</w:t>
        </w:r>
      </w:hyperlink>
    </w:p>
    <w:bookmarkEnd w:id="39"/>
    <w:bookmarkStart w:id="55" w:name="figure-legends"/>
    <w:p>
      <w:pPr>
        <w:pStyle w:val="Heading2"/>
      </w:pPr>
      <w:r>
        <w:t xml:space="preserve">Figure legends</w:t>
      </w:r>
    </w:p>
    <w:p>
      <w:pPr>
        <w:pStyle w:val="FirstParagraph"/>
      </w:pPr>
      <w:r>
        <w:drawing>
          <wp:inline>
            <wp:extent cx="5334000" cy="3363548"/>
            <wp:effectExtent b="0" l="0" r="0" t="0"/>
            <wp:docPr descr="Figure 1: benchmark and execution contract" title="" id="41" name="Picture"/>
            <a:graphic>
              <a:graphicData uri="http://schemas.openxmlformats.org/drawingml/2006/picture">
                <pic:pic>
                  <pic:nvPicPr>
                    <pic:cNvPr descr="figures/fig01_benchmark_contract.png" id="42" name="Picture"/>
                    <pic:cNvPicPr>
                      <a:picLocks noChangeArrowheads="1" noChangeAspect="1"/>
                    </pic:cNvPicPr>
                  </pic:nvPicPr>
                  <pic:blipFill>
                    <a:blip r:embed="rId40"/>
                    <a:stretch>
                      <a:fillRect/>
                    </a:stretch>
                  </pic:blipFill>
                  <pic:spPr bwMode="auto">
                    <a:xfrm>
                      <a:off x="0" y="0"/>
                      <a:ext cx="5334000" cy="3363548"/>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3536990"/>
            <wp:effectExtent b="0" l="0" r="0" t="0"/>
            <wp:docPr descr="Figure 2: historical validation" title="" id="44" name="Picture"/>
            <a:graphic>
              <a:graphicData uri="http://schemas.openxmlformats.org/drawingml/2006/picture">
                <pic:pic>
                  <pic:nvPicPr>
                    <pic:cNvPr descr="figures/fig02_historical_validation.png" id="45" name="Picture"/>
                    <pic:cNvPicPr>
                      <a:picLocks noChangeArrowheads="1" noChangeAspect="1"/>
                    </pic:cNvPicPr>
                  </pic:nvPicPr>
                  <pic:blipFill>
                    <a:blip r:embed="rId43"/>
                    <a:stretch>
                      <a:fillRect/>
                    </a:stretch>
                  </pic:blipFill>
                  <pic:spPr bwMode="auto">
                    <a:xfrm>
                      <a:off x="0" y="0"/>
                      <a:ext cx="5334000" cy="3536990"/>
                    </a:xfrm>
                    <a:prstGeom prst="rect">
                      <a:avLst/>
                    </a:prstGeom>
                    <a:noFill/>
                    <a:ln w="9525">
                      <a:noFill/>
                      <a:headEnd/>
                      <a:tailEnd/>
                    </a:ln>
                  </pic:spPr>
                </pic:pic>
              </a:graphicData>
            </a:graphic>
          </wp:inline>
        </w:drawing>
      </w:r>
    </w:p>
    <w:p>
      <w:pPr>
        <w:pStyle w:val="BodyText"/>
      </w:pPr>
      <w:r>
        <w:rPr>
          <w:b/>
          <w:bCs/>
        </w:rPr>
        <w:t xml:space="preserve">Figure 2 | Historical validation across horizons.</w:t>
      </w:r>
      <w:r>
        <w:t xml:space="preserve"> </w:t>
      </w:r>
      <w:r>
        <w:t xml:space="preserve">Change FoM, change F1, overall accuracy and macro-F1 for the 2023 one-step target and 2024 two-step open-loop target. Bars show mean ± population SD over n=3 seeds. Geospatial Kernel leads in 2023, whereas Paper58 leads in 2024.</w:t>
      </w:r>
    </w:p>
    <w:p>
      <w:pPr>
        <w:pStyle w:val="BodyText"/>
      </w:pPr>
      <w:r>
        <w:drawing>
          <wp:inline>
            <wp:extent cx="5334000" cy="3519731"/>
            <wp:effectExtent b="0" l="0" r="0" t="0"/>
            <wp:docPr descr="Figure 3: planning objectives" title="" id="47" name="Picture"/>
            <a:graphic>
              <a:graphicData uri="http://schemas.openxmlformats.org/drawingml/2006/picture">
                <pic:pic>
                  <pic:nvPicPr>
                    <pic:cNvPr descr="figures/fig03_planning_objectives.png" id="48" name="Picture"/>
                    <pic:cNvPicPr>
                      <a:picLocks noChangeArrowheads="1" noChangeAspect="1"/>
                    </pic:cNvPicPr>
                  </pic:nvPicPr>
                  <pic:blipFill>
                    <a:blip r:embed="rId46"/>
                    <a:stretch>
                      <a:fillRect/>
                    </a:stretch>
                  </pic:blipFill>
                  <pic:spPr bwMode="auto">
                    <a:xfrm>
                      <a:off x="0" y="0"/>
                      <a:ext cx="5334000" cy="3519731"/>
                    </a:xfrm>
                    <a:prstGeom prst="rect">
                      <a:avLst/>
                    </a:prstGeom>
                    <a:noFill/>
                    <a:ln w="9525">
                      <a:noFill/>
                      <a:headEnd/>
                      <a:tailEnd/>
                    </a:ln>
                  </pic:spPr>
                </pic:pic>
              </a:graphicData>
            </a:graphic>
          </wp:inline>
        </w:drawing>
      </w:r>
    </w:p>
    <w:p>
      <w:pPr>
        <w:pStyle w:val="BodyText"/>
      </w:pPr>
      <w:r>
        <w:rPr>
          <w:b/>
          <w:bCs/>
        </w:rPr>
        <w:t xml:space="preserve">Figure 3 | Conditional planning objectives at 2031.</w:t>
      </w:r>
      <w:r>
        <w:t xml:space="preserve"> </w:t>
      </w:r>
      <w:r>
        <w:t xml:space="preserve">Demand total variation, ecological conversion, new-built compactness, distances to major roads and prior built cells, and built retirement are shown for the three scenario actions. Bars show mean ± population SD over n=3 seeds. Black outlines mark Geospatial Kernel candidates on the declared public-data Pareto frontier; exact zero values are shown at the baseline.</w:t>
      </w:r>
    </w:p>
    <w:p>
      <w:pPr>
        <w:pStyle w:val="BodyText"/>
      </w:pPr>
      <w:r>
        <w:drawing>
          <wp:inline>
            <wp:extent cx="5334000" cy="3703670"/>
            <wp:effectExtent b="0" l="0" r="0" t="0"/>
            <wp:docPr descr="Figure 4: mechanism controls" title="" id="50" name="Picture"/>
            <a:graphic>
              <a:graphicData uri="http://schemas.openxmlformats.org/drawingml/2006/picture">
                <pic:pic>
                  <pic:nvPicPr>
                    <pic:cNvPr descr="figures/fig04_mechanism_ablation.png" id="51" name="Picture"/>
                    <pic:cNvPicPr>
                      <a:picLocks noChangeArrowheads="1" noChangeAspect="1"/>
                    </pic:cNvPicPr>
                  </pic:nvPicPr>
                  <pic:blipFill>
                    <a:blip r:embed="rId49"/>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ablations, runtime-control changes relative to the full Kernel, planning compactness controls and hard-constraint violations. These are public-data mechanism controls, not causal policy experiments; the Markov proposal demonstrates that planning morphology is not attributable to the learned proposal alone.</w:t>
      </w:r>
    </w:p>
    <w:p>
      <w:pPr>
        <w:pStyle w:val="BodyText"/>
      </w:pPr>
      <w:r>
        <w:drawing>
          <wp:inline>
            <wp:extent cx="5334000" cy="5253521"/>
            <wp:effectExtent b="0" l="0" r="0" t="0"/>
            <wp:docPr descr="Figure 5: 2031 planning maps" title="" id="53" name="Picture"/>
            <a:graphic>
              <a:graphicData uri="http://schemas.openxmlformats.org/drawingml/2006/picture">
                <pic:pic>
                  <pic:nvPicPr>
                    <pic:cNvPr descr="figures/fig05_planning_maps_2031.png" id="54" name="Picture"/>
                    <pic:cNvPicPr>
                      <a:picLocks noChangeArrowheads="1" noChangeAspect="1"/>
                    </pic:cNvPicPr>
                  </pic:nvPicPr>
                  <pic:blipFill>
                    <a:blip r:embed="rId52"/>
                    <a:stretch>
                      <a:fillRect/>
                    </a:stretch>
                  </pic:blipFill>
                  <pic:spPr bwMode="auto">
                    <a:xfrm>
                      <a:off x="0" y="0"/>
                      <a:ext cx="5334000" cy="5253521"/>
                    </a:xfrm>
                    <a:prstGeom prst="rect">
                      <a:avLst/>
                    </a:prstGeom>
                    <a:noFill/>
                    <a:ln w="9525">
                      <a:noFill/>
                      <a:headEnd/>
                      <a:tailEnd/>
                    </a:ln>
                  </pic:spPr>
                </pic:pic>
              </a:graphicData>
            </a:graphic>
          </wp:inline>
        </w:drawing>
      </w:r>
    </w:p>
    <w:p>
      <w:pPr>
        <w:pStyle w:val="BodyText"/>
      </w:pPr>
      <w:r>
        <w:rPr>
          <w:b/>
          <w:bCs/>
        </w:rPr>
        <w:t xml:space="preserve">Figure 5 | Spatial allocations and transition footprints at 2031.</w:t>
      </w:r>
      <w:r>
        <w:t xml:space="preserve"> </w:t>
      </w:r>
      <w:r>
        <w:t xml:space="preserve">Rows show compact, ecological-priority and outward-growth actions; columns show GeoSOS-FLUS, Geospatial Kernel and Paper58. Each panel is a 100-m ensemble raster. Overlays mark new built cells, new low-vegetation cells and built retirement relative to 2024. Transition polygons derived from these cells are not cadastral parcels.</w:t>
      </w:r>
    </w:p>
    <w:bookmarkEnd w:id="55"/>
    <w:bookmarkStart w:id="56"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33" Target="https://doi.org/10.1016/j.landurbplan.2017.09.019" TargetMode="External" /><Relationship Type="http://schemas.openxmlformats.org/officeDocument/2006/relationships/hyperlink" Id="rId35" Target="https://doi.org/10.1016/j.rse.2017.06.031" TargetMode="External" /><Relationship Type="http://schemas.openxmlformats.org/officeDocument/2006/relationships/hyperlink" Id="rId34" Target="https://doi.org/10.1038/s41597-022-01307-4" TargetMode="External" /><Relationship Type="http://schemas.openxmlformats.org/officeDocument/2006/relationships/hyperlink" Id="rId36" Target="https://doi.org/10.1080/01431161.2011.552923" TargetMode="External" /><Relationship Type="http://schemas.openxmlformats.org/officeDocument/2006/relationships/hyperlink" Id="rId37" Target="https://doi.org/10.5281/zenodo.7254221" TargetMode="External" /><Relationship Type="http://schemas.openxmlformats.org/officeDocument/2006/relationships/hyperlink" Id="rId38" Target="https://www.openstreetmap.org"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1016/j.landurbplan.2017.09.019" TargetMode="External" /><Relationship Type="http://schemas.openxmlformats.org/officeDocument/2006/relationships/hyperlink" Id="rId35" Target="https://doi.org/10.1016/j.rse.2017.06.031" TargetMode="External" /><Relationship Type="http://schemas.openxmlformats.org/officeDocument/2006/relationships/hyperlink" Id="rId34" Target="https://doi.org/10.1038/s41597-022-01307-4" TargetMode="External" /><Relationship Type="http://schemas.openxmlformats.org/officeDocument/2006/relationships/hyperlink" Id="rId36" Target="https://doi.org/10.1080/01431161.2011.552923" TargetMode="External" /><Relationship Type="http://schemas.openxmlformats.org/officeDocument/2006/relationships/hyperlink" Id="rId37" Target="https://doi.org/10.5281/zenodo.7254221" TargetMode="External" /><Relationship Type="http://schemas.openxmlformats.org/officeDocument/2006/relationships/hyperlink" Id="rId38" Target="https://www.openstreetm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2026-09-03T15:42:15Z</dcterms:created>
  <dcterms:modified xsi:type="dcterms:W3CDTF">2026-09-03T15:42:15Z</dcterms:modified>
</cp:coreProperties>
</file>

<file path=docProps/custom.xml><?xml version="1.0" encoding="utf-8"?>
<Properties xmlns="http://schemas.openxmlformats.org/officeDocument/2006/custom-properties" xmlns:vt="http://schemas.openxmlformats.org/officeDocument/2006/docPropsVTypes"/>
</file>