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9f1511a8109b24064870830db84b786f9ef0e11"/>
    <w:p>
      <w:pPr>
        <w:pStyle w:val="Heading1"/>
      </w:pPr>
      <w:r>
        <w:t xml:space="preserve">Auditing constrained geospatial allocation under noisy annual land-cover labels</w:t>
      </w:r>
    </w:p>
    <w:p>
      <w:pPr>
        <w:pStyle w:val="FirstParagraph"/>
      </w:pPr>
      <w:r>
        <w:rPr>
          <w:b/>
          <w:bCs/>
        </w:rPr>
        <w:t xml:space="preserve">A Geospatial Kernel benchmark in Abu Dhabi</w:t>
      </w:r>
    </w:p>
    <w:p>
      <w:pPr>
        <w:pStyle w:val="BodyText"/>
      </w:pPr>
      <w:r>
        <w:rPr>
          <w:b/>
          <w:bCs/>
        </w:rPr>
        <w:t xml:space="preserve">Author:</w:t>
      </w:r>
      <w:r>
        <w:t xml:space="preserve"> </w:t>
      </w:r>
      <w:r>
        <w:t xml:space="preserve">Ning Zhou</w:t>
      </w:r>
      <w:r>
        <w:br/>
      </w:r>
      <w:r>
        <w:rPr>
          <w:b/>
          <w:bCs/>
        </w:rPr>
        <w:t xml:space="preserve">Affiliation:</w:t>
      </w:r>
      <w:r>
        <w:t xml:space="preserve"> </w:t>
      </w:r>
      <w:r>
        <w:t xml:space="preserve">Beijing Freedo Technology Co., Ltd.</w:t>
      </w:r>
      <w:r>
        <w:br/>
      </w:r>
      <w:r>
        <w:rPr>
          <w:b/>
          <w:bCs/>
        </w:rPr>
        <w:t xml:space="preserve">Corresponding author:</w:t>
      </w:r>
      <w:r>
        <w:t xml:space="preserve"> </w:t>
      </w:r>
      <w:r>
        <w:t xml:space="preserve">Ning Zhou (</w:t>
      </w:r>
      <w:r>
        <w:rPr>
          <w:rStyle w:val="VerbatimChar"/>
        </w:rPr>
        <w:t xml:space="preserve">zhouning@freedotech.com</w:t>
      </w:r>
      <w:r>
        <w:t xml:space="preserve">)</w:t>
      </w:r>
    </w:p>
    <w:p>
      <w:pPr>
        <w:pStyle w:val="BodyText"/>
      </w:pPr>
      <w:r>
        <w:t xml:space="preserve">This study is not an official Abu Dhabi planning forecast. Correspondence: Ning Zhou, Beijing Freedo Technology Co., Ltd.; zhouning@freedotech.com.</w:t>
      </w:r>
    </w:p>
    <w:bookmarkStart w:id="9" w:name="abstract"/>
    <w:p>
      <w:pPr>
        <w:pStyle w:val="Heading2"/>
      </w:pPr>
      <w:r>
        <w:t xml:space="preserve">Abstract</w:t>
      </w:r>
    </w:p>
    <w:p>
      <w:pPr>
        <w:pStyle w:val="FirstParagraph"/>
      </w:pPr>
      <w:r>
        <w:t xml:space="preserve">Urban land-change models are often evaluated against annual labels whose reliability is not spatially uniform. We present an auditable protocol for testing constrained spatial allocation under that uncertainty, using Geospatial Kernel, the algorithmic core of a Geospatial World Model, as the focal execution layer. The Abu Dhabi public-data benchmark uses annual 100-m land-cover products from 2017–2024, three computational seeds, destination-correct multi-class change Figure of Merit (FoM), spatial-block bootstrap contrasts and explicit state–action–constraint traces. In a clean run of the fully resolved environment, strict FoM was 0.1961 for Geospatial Kernel, 0.1256 for the GeoSOS-derived FLUS-style ANN–CA console (author-modified build) and 0.1619 for GeoFM-LDN in 2023; after recursive two-step rollout in 2024 the values were 0.2529, 0.1782 and 0.2708, respectively. A dual-year confidence threshold retained only 25 of 4,500 observed changes in 2023 and 56 of 8,464 in 2024; all three FoM values were 0.000 in 2023 and the 2024 maximum was 0.0188. These filtered scores are label-quality and selection-effect diagnostics, not model-skill tests. The planning track is therefore reported as scenario stress testing, not official forecasting. The released public bundle, source, checkpoints, rasters, vector footprints and audit manifests support locked-environment reproduction; cross-stack variation is quantified rather than assumed absent. The protocol’s principal contribution is an inspectable proposal–projection–writeback boundary for separating model behaviour from action and constraint semantics.</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constrained admission.</w:t>
      </w:r>
    </w:p>
    <w:p>
      <w:pPr>
        <w:pStyle w:val="Compact"/>
        <w:numPr>
          <w:ilvl w:val="0"/>
          <w:numId w:val="1001"/>
        </w:numPr>
      </w:pPr>
      <w:r>
        <w:t xml:space="preserve">Typed state–action–constraint traces make recursive updates auditable.</w:t>
      </w:r>
    </w:p>
    <w:p>
      <w:pPr>
        <w:pStyle w:val="Compact"/>
        <w:numPr>
          <w:ilvl w:val="0"/>
          <w:numId w:val="1001"/>
        </w:numPr>
      </w:pPr>
      <w:r>
        <w:t xml:space="preserve">Spatial-block uncertainty and paired model contrasts are reported explicitly.</w:t>
      </w:r>
    </w:p>
    <w:p>
      <w:pPr>
        <w:pStyle w:val="Compact"/>
        <w:numPr>
          <w:ilvl w:val="0"/>
          <w:numId w:val="1001"/>
        </w:numPr>
      </w:pPr>
      <w:r>
        <w:t xml:space="preserve">Confidence filters expose label selection effects; they are not validation tests.</w:t>
      </w:r>
    </w:p>
    <w:p>
      <w:pPr>
        <w:pStyle w:val="Compact"/>
        <w:numPr>
          <w:ilvl w:val="0"/>
          <w:numId w:val="1001"/>
        </w:numPr>
      </w:pPr>
      <w:r>
        <w:t xml:space="preserve">Planning outputs are scenario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moderate growth, green-priority growth and high outward growth. Abu Dhabi Plan 2030 provides an institutional planning context for discussing urban structure, but the numerical actions in this benchmark are not calibrated to that plan or to an official population forecast (Abu Dhabi Urban Planning Council, 2007). We ask four questions: whether the Kernel execution contract is auditable, whether its allocation skill is competitive, whether it produces feasible and spatially distinct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reports confidence-filter retention and selection effects rather than treating a high-confidence subset as a skill-validation set.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bookmarkEnd w:id="14"/>
    <w:bookmarkStart w:id="15"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geosimulation.cn); the accompanying source repository</w:t>
      </w:r>
      <w:r>
        <w:t xml:space="preserve"> </w:t>
      </w:r>
      <w:r>
        <w:rPr>
          <w:rStyle w:val="VerbatimChar"/>
        </w:rPr>
        <w:t xml:space="preserve">FLUS_console_crossplatform</w:t>
      </w:r>
      <w:r>
        <w:t xml:space="preserve"> </w:t>
      </w:r>
      <w:r>
        <w:t xml:space="preserve">at commit</w:t>
      </w:r>
      <w:r>
        <w:t xml:space="preserve"> </w:t>
      </w:r>
      <w:r>
        <w:rPr>
          <w:rStyle w:val="VerbatimChar"/>
        </w:rPr>
        <w:t xml:space="preserve">47e65b3</w:t>
      </w:r>
      <w:r>
        <w:t xml:space="preserve"> </w:t>
      </w:r>
      <w:r>
        <w:t xml:space="preserve">contains the author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Version v1.1 changes only failure handling for invalid input reads; valid-input algorithmic paths and benchmark rasters are unchanged from v1.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reviewer-provided Windows x86_64 seeds; the remaining macOS seed-31 run is not used as a valid estimator.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w:t>
      </w:r>
      <w:r>
        <w:t xml:space="preserve"> </w:t>
      </w:r>
      <w:r>
        <w:rPr>
          <w:rStyle w:val="VerbatimChar"/>
        </w:rPr>
        <w:t xml:space="preserve">planning_scenarios_public_2025_2031.json</w:t>
      </w:r>
      <w:r>
        <w:t xml:space="preserve"> </w:t>
      </w:r>
      <w:r>
        <w:t xml:space="preserve">manifest; the legacy</w:t>
      </w:r>
      <w:r>
        <w:t xml:space="preserve"> </w:t>
      </w:r>
      <w:r>
        <w:rPr>
          <w:rStyle w:val="VerbatimChar"/>
        </w:rPr>
        <w:t xml:space="preserve">compact</w:t>
      </w:r>
      <w:r>
        <w:t xml:space="preserve"> </w:t>
      </w:r>
      <w:r>
        <w:t xml:space="preserve">path identifier is retained only for artifact compatibility. Each action supplies feasible class totals for 2025–2031. The 2031 totals are an explicit extension of the previous annual difference and are not derived from an official population, housing or infrastructure forecast. Future exogenous rasters are held at their 2024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primary Pareto comparison is within each scenario, contrasting the three models under the same action; a global nine-candidate frontier is retained only as lineage. Sensitivity variants remove or add objective dimensions on the same released rasters. The objective set evolved through four review-driven revisions and was not preregistered: v1 mixed feasibility, action and outcome terms; v2 was not released; v3 used structurally problematic outcomes; and v4 still included scenario-supplied vegetation gain and all-built fragmentation. The current release is v6: road access, prior-built distance and union-built component density. Ecological conversion is reported as a diagnostic rather than a Pareto objective because it is structurally zero for the exact-count Kernel and GeoFM-LDN allocations. We treat v6 as a release objective set rather than a prespecified planning preference, and treat its sensitivity results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public delivery manifest covers 45 ensemble rasters for 2027–2031 and nine vector packages. The audit script reports</w:t>
      </w:r>
      <w:r>
        <w:t xml:space="preserve"> </w:t>
      </w:r>
      <w:r>
        <w:rPr>
          <w:rStyle w:val="VerbatimChar"/>
        </w:rPr>
        <w:t xml:space="preserve">INCOMPLETE_INPUTS</w:t>
      </w:r>
      <w:r>
        <w:t xml:space="preserve"> </w:t>
      </w:r>
      <w:r>
        <w:t xml:space="preserve">or</w:t>
      </w:r>
      <w:r>
        <w:t xml:space="preserve"> </w:t>
      </w:r>
      <w:r>
        <w:rPr>
          <w:rStyle w:val="VerbatimChar"/>
        </w:rPr>
        <w:t xml:space="preserve">FAIL</w:t>
      </w:r>
      <w:r>
        <w:t xml:space="preserve"> </w:t>
      </w:r>
      <w:r>
        <w:t xml:space="preserve">when source rasters, reports or vectors are absent; with the released public bundle, the input audit passed all alignment gates (with a Dynamic World label-noise warning) and the output audit passed 276 historical and planning predictions with zero failures. The vector layers preserve raster-cell geometry and should not be interpreted as cadastral parcels.</w:t>
      </w:r>
    </w:p>
    <w:bookmarkEnd w:id="20"/>
    <w:bookmarkEnd w:id="21"/>
    <w:bookmarkStart w:id="26" w:name="results"/>
    <w:p>
      <w:pPr>
        <w:pStyle w:val="Heading2"/>
      </w:pPr>
      <w:r>
        <w:t xml:space="preserve">Results</w:t>
      </w:r>
    </w:p>
    <w:bookmarkStart w:id="22"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bookmarkEnd w:id="22"/>
    <w:bookmarkStart w:id="23" w:name="historical-and-planning-results"/>
    <w:p>
      <w:pPr>
        <w:pStyle w:val="Heading3"/>
      </w:pPr>
      <w:r>
        <w:t xml:space="preserve">Historical and planning results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 Historical allocation scores.</w:t>
      </w:r>
      <w:r>
        <w:t xml:space="preserve"> </w:t>
      </w:r>
      <w:r>
        <w:t xml:space="preserve">Values are means across the three</w:t>
      </w:r>
      <w:r>
        <w:t xml:space="preserve"> </w:t>
      </w:r>
      <w:r>
        <w:t xml:space="preserve">frozen computational seeds; the strict multi-class change FoM is the primary</w:t>
      </w:r>
      <w:r>
        <w:t xml:space="preserve"> </w:t>
      </w:r>
      <w:r>
        <w:t xml:space="preserve">metric and the remaining columns are diagnostics. The 25-feature FLUS run is</w:t>
      </w:r>
      <w:r>
        <w:t xml:space="preserve"> </w:t>
      </w:r>
      <w:r>
        <w:t xml:space="preserve">excluded from this table because it is not a comparable estimator. Across six</w:t>
      </w:r>
      <w:r>
        <w:t xml:space="preserve"> </w:t>
      </w:r>
      <w:r>
        <w:t xml:space="preserve">platform–seed runs, five collapsed to zero-change outputs through current-class</w:t>
      </w:r>
      <w:r>
        <w:t xml:space="preserve"> </w:t>
      </w:r>
      <w:r>
        <w:t xml:space="preserve">identity leakage, so the non-collapsed macOS seed-31 result is retained only in</w:t>
      </w:r>
      <w:r>
        <w:t xml:space="preserve"> </w:t>
      </w:r>
      <w:r>
        <w:t xml:space="preserve">the diagnostic archive. Persistence and random minimum-change are explicit</w:t>
      </w:r>
      <w:r>
        <w:t xml:space="preserve"> </w:t>
      </w:r>
      <w:r>
        <w:t xml:space="preserve">zero-model controls rather than learned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Target year</w:t>
            </w:r>
          </w:p>
        </w:tc>
        <w:tc>
          <w:tcPr/>
          <w:p>
            <w:pPr>
              <w:pStyle w:val="Compact"/>
              <w:jc w:val="right"/>
            </w:pPr>
            <w:r>
              <w:t xml:space="preserve">FLUS-style (7)</w:t>
            </w:r>
          </w:p>
        </w:tc>
        <w:tc>
          <w:tcPr/>
          <w:p>
            <w:pPr>
              <w:pStyle w:val="Compact"/>
              <w:jc w:val="right"/>
            </w:pPr>
            <w:r>
              <w:t xml:space="preserve">Kernel</w:t>
            </w:r>
          </w:p>
        </w:tc>
        <w:tc>
          <w:tcPr/>
          <w:p>
            <w:pPr>
              <w:pStyle w:val="Compact"/>
              <w:jc w:val="right"/>
            </w:pPr>
            <w:r>
              <w:t xml:space="preserve">GeoFM-LDN</w:t>
            </w:r>
          </w:p>
        </w:tc>
        <w:tc>
          <w:tcPr/>
          <w:p>
            <w:pPr>
              <w:pStyle w:val="Compact"/>
              <w:jc w:val="right"/>
            </w:pPr>
            <w:r>
              <w:t xml:space="preserve">Persistence</w:t>
            </w:r>
          </w:p>
        </w:tc>
        <w:tc>
          <w:tcPr/>
          <w:p>
            <w:pPr>
              <w:pStyle w:val="Compact"/>
              <w:jc w:val="right"/>
            </w:pPr>
            <w:r>
              <w:t xml:space="preserve">Random minimum-change</w:t>
            </w:r>
          </w:p>
        </w:tc>
      </w:tr>
      <w:tr>
        <w:tc>
          <w:tcPr/>
          <w:p>
            <w:pPr>
              <w:pStyle w:val="Compact"/>
              <w:jc w:val="right"/>
            </w:pPr>
            <w:r>
              <w:t xml:space="preserve">2023 (1-step)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c>
          <w:tcPr/>
          <w:p>
            <w:pPr>
              <w:pStyle w:val="Compact"/>
              <w:jc w:val="right"/>
            </w:pPr>
            <w:r>
              <w:t xml:space="preserve">0.0000</w:t>
            </w:r>
          </w:p>
        </w:tc>
        <w:tc>
          <w:tcPr/>
          <w:p>
            <w:pPr>
              <w:pStyle w:val="Compact"/>
              <w:jc w:val="right"/>
            </w:pPr>
            <w:r>
              <w:t xml:space="preserve">0.0253</w:t>
            </w:r>
          </w:p>
        </w:tc>
      </w:tr>
      <w:tr>
        <w:tc>
          <w:tcPr/>
          <w:p>
            <w:pPr>
              <w:pStyle w:val="Compact"/>
              <w:jc w:val="right"/>
            </w:pPr>
            <w:r>
              <w:t xml:space="preserve">2024 (2-step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c>
          <w:tcPr/>
          <w:p>
            <w:pPr>
              <w:pStyle w:val="Compact"/>
              <w:jc w:val="right"/>
            </w:pPr>
            <w:r>
              <w:t xml:space="preserve">0.0000</w:t>
            </w:r>
          </w:p>
        </w:tc>
        <w:tc>
          <w:tcPr/>
          <w:p>
            <w:pPr>
              <w:pStyle w:val="Compact"/>
              <w:jc w:val="right"/>
            </w:pPr>
            <w:r>
              <w:t xml:space="preserve">0.0605</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BodyText"/>
      </w:pPr>
      <w:r>
        <w:t xml:space="preserve">The reviewer-requested FLUS input-dimension analysis was also completed. The</w:t>
      </w:r>
      <w:r>
        <w:t xml:space="preserve"> </w:t>
      </w:r>
      <w:r>
        <w:t xml:space="preserve">25-feature run is not a valid point estimator: macOS seeds 47 and 73 and all</w:t>
      </w:r>
      <w:r>
        <w:t xml:space="preserve"> </w:t>
      </w:r>
      <w:r>
        <w:t xml:space="preserve">three reviewer-provided Windows x86_64 seeds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confidence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mean top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confidence of the year immediately preceding the</w:t>
      </w:r>
      <w:r>
        <w:t xml:space="preserve"> </w:t>
      </w:r>
      <w:r>
        <w:t xml:space="preserve">target avoids filtering on target-year confidence,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The reviewer-provided Windows FLUS</w:t>
      </w:r>
      <w:r>
        <w:t xml:space="preserve"> </w:t>
      </w:r>
      <w:r>
        <w:t xml:space="preserve">rerun additionally showed 2–4% differing cells from the macOS seven-driver</w:t>
      </w:r>
      <w:r>
        <w:t xml:space="preserve"> </w:t>
      </w:r>
      <w:r>
        <w:t xml:space="preserve">outputs, consistent with the platform-dependent C</w:t>
      </w:r>
      <w:r>
        <w:t xml:space="preserve"> </w:t>
      </w:r>
      <w:r>
        <w:rPr>
          <w:rStyle w:val="VerbatimChar"/>
        </w:rPr>
        <w:t xml:space="preserve">rand()</w:t>
      </w:r>
      <w:r>
        <w:t xml:space="preserve">/</w:t>
      </w:r>
      <w:r>
        <w:rPr>
          <w:rStyle w:val="VerbatimChar"/>
        </w:rPr>
        <w:t xml:space="preserve">srand()</w:t>
      </w:r>
      <w:r>
        <w:t xml:space="preserve"> </w:t>
      </w:r>
      <w:r>
        <w:t xml:space="preserve">stream.</w:t>
      </w:r>
      <w:r>
        <w:t xml:space="preserve"> </w:t>
      </w:r>
      <w:r>
        <w:t xml:space="preserve">The repository does not contain the reviewer’s Windows FLUS raster files, so</w:t>
      </w:r>
      <w:r>
        <w:t xml:space="preserve"> </w:t>
      </w:r>
      <w:r>
        <w:t xml:space="preserve">those values remain explicitly external verification. The archived comparison</w:t>
      </w:r>
      <w:r>
        <w:t xml:space="preserve"> </w:t>
      </w:r>
      <w:r>
        <w:t xml:space="preserve">report records the exact paths and environment fields for the arm64 pair.</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3.</w:t>
      </w:r>
      <w:r>
        <w:t xml:space="preserve"> </w:t>
      </w: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Seed-level projections</w:t>
      </w:r>
      <w:r>
        <w:t xml:space="preserve"> </w:t>
      </w:r>
      <w:r>
        <w:t xml:space="preserve">meet their feasible class totals, but majority voting can produce a different</w:t>
      </w:r>
      <w:r>
        <w:t xml:space="preserve"> </w:t>
      </w:r>
      <w:r>
        <w:t xml:space="preserve">raster and therefore a non-zero ensemble error. All 276 historical and planning</w:t>
      </w:r>
      <w:r>
        <w:t xml:space="preserve"> </w:t>
      </w:r>
      <w:r>
        <w:t xml:space="preserve">prediction records passed the raster audit. The resulting 2031 ensemble rasters</w:t>
      </w:r>
      <w:r>
        <w:t xml:space="preserve"> </w:t>
      </w:r>
      <w:r>
        <w:t xml:space="preserve">and their dissolved cell-change footprints are shown in Fig. 5; they are</w:t>
      </w:r>
      <w:r>
        <w:t xml:space="preserve"> </w:t>
      </w:r>
      <w:r>
        <w:t xml:space="preserve">scenario-conditioned land-cover maps, not parcel boundaries or statutory zoning</w:t>
      </w:r>
      <w:r>
        <w:t xml:space="preserve"> </w:t>
      </w:r>
      <w:r>
        <w:t xml:space="preserve">maps.</w:t>
      </w:r>
    </w:p>
    <w:p>
      <w:pPr>
        <w:pStyle w:val="BodyText"/>
      </w:pPr>
      <w:r>
        <w:rPr>
          <w:b/>
          <w:bCs/>
        </w:rPr>
        <w:t xml:space="preserve">Table 2 | 2031 within-scenario planning objectives.</w:t>
      </w:r>
      <w:r>
        <w:t xml:space="preserve"> </w:t>
      </w:r>
      <w:r>
        <w:t xml:space="preserve">Values are means across</w:t>
      </w:r>
      <w:r>
        <w:t xml:space="preserve"> </w:t>
      </w:r>
      <w:r>
        <w:t xml:space="preserve">three seeds. Distances are metres, union-built component density is the number</w:t>
      </w:r>
      <w:r>
        <w:t xml:space="preserve"> </w:t>
      </w:r>
      <w:r>
        <w:t xml:space="preserve">of connected components in the combined 2024-built and newly built footprint per 1,000</w:t>
      </w:r>
      <w:r>
        <w:t xml:space="preserve"> </w:t>
      </w:r>
      <w:r>
        <w:t xml:space="preserve">valid cells, and ecological conversion is a descriptive fraction of new-built</w:t>
      </w:r>
      <w:r>
        <w:t xml:space="preserve"> </w:t>
      </w:r>
      <w:r>
        <w:t xml:space="preserve">cells whose origin class was woody, low vegetation or wetland. A star denotes</w:t>
      </w:r>
      <w:r>
        <w:t xml:space="preserve"> </w:t>
      </w:r>
      <w:r>
        <w:t xml:space="preserve">membership in the primary within-scenario Pareto frontier.</w:t>
      </w:r>
    </w:p>
    <w:tbl>
      <w:tblPr>
        <w:tblStyle w:val="Table"/>
        <w:tblW w:type="pct" w:w="5000"/>
        <w:tblLayout w:type="fixed"/>
        <w:tblLook w:firstRow="1" w:lastRow="0" w:firstColumn="0" w:lastColumn="0" w:noHBand="0" w:noVBand="0" w:val="0020"/>
      </w:tblPr>
      <w:tblGrid>
        <w:gridCol w:w="880"/>
        <w:gridCol w:w="880"/>
        <w:gridCol w:w="1173"/>
        <w:gridCol w:w="1173"/>
        <w:gridCol w:w="1173"/>
        <w:gridCol w:w="1173"/>
        <w:gridCol w:w="1466"/>
      </w:tblGrid>
      <w:tr>
        <w:trPr>
          <w:tblHeader w:val="on"/>
        </w:trPr>
        <w:tc>
          <w:tcPr/>
          <w:p>
            <w:pPr>
              <w:pStyle w:val="Compact"/>
            </w:pPr>
            <w:r>
              <w:t xml:space="preserve">Model</w:t>
            </w:r>
          </w:p>
        </w:tc>
        <w:tc>
          <w:tcPr/>
          <w:p>
            <w:pPr>
              <w:pStyle w:val="Compact"/>
            </w:pPr>
            <w:r>
              <w:t xml:space="preserve">Scenario</w:t>
            </w:r>
          </w:p>
        </w:tc>
        <w:tc>
          <w:tcPr/>
          <w:p>
            <w:pPr>
              <w:pStyle w:val="Compact"/>
              <w:jc w:val="right"/>
            </w:pPr>
            <w:r>
              <w:t xml:space="preserve">Major-road distance</w:t>
            </w:r>
          </w:p>
        </w:tc>
        <w:tc>
          <w:tcPr/>
          <w:p>
            <w:pPr>
              <w:pStyle w:val="Compact"/>
              <w:jc w:val="right"/>
            </w:pPr>
            <w:r>
              <w:t xml:space="preserve">Prior-built distance</w:t>
            </w:r>
          </w:p>
        </w:tc>
        <w:tc>
          <w:tcPr/>
          <w:p>
            <w:pPr>
              <w:pStyle w:val="Compact"/>
              <w:jc w:val="right"/>
            </w:pPr>
            <w:r>
              <w:t xml:space="preserve">Union-built components/1,000</w:t>
            </w:r>
          </w:p>
        </w:tc>
        <w:tc>
          <w:tcPr/>
          <w:p>
            <w:pPr>
              <w:pStyle w:val="Compact"/>
              <w:jc w:val="right"/>
            </w:pPr>
            <w:r>
              <w:t xml:space="preserve">Ecological conversion (diagnostic)</w:t>
            </w:r>
          </w:p>
        </w:tc>
        <w:tc>
          <w:tcPr/>
          <w:p>
            <w:pPr>
              <w:pStyle w:val="Compact"/>
              <w:jc w:val="center"/>
            </w:pPr>
            <w:r>
              <w:t xml:space="preserve">Frontier</w:t>
            </w:r>
          </w:p>
        </w:tc>
      </w:tr>
      <w:tr>
        <w:tc>
          <w:tcPr/>
          <w:p>
            <w:pPr>
              <w:pStyle w:val="Compact"/>
            </w:pPr>
            <w:r>
              <w:t xml:space="preserve">FLUS-style ANN–CA</w:t>
            </w:r>
          </w:p>
        </w:tc>
        <w:tc>
          <w:tcPr/>
          <w:p>
            <w:pPr>
              <w:pStyle w:val="Compact"/>
            </w:pPr>
            <w:r>
              <w:t xml:space="preserve">Moderate</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pPr>
            <w:r>
              <w:t xml:space="preserve">Geospatial Kernel</w:t>
            </w:r>
          </w:p>
        </w:tc>
        <w:tc>
          <w:tcPr/>
          <w:p>
            <w:pPr>
              <w:pStyle w:val="Compact"/>
            </w:pPr>
            <w:r>
              <w:t xml:space="preserve">Moderate</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Moderate</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pPr>
            <w:r>
              <w:t xml:space="preserve">FLUS-style ANN–CA</w:t>
            </w:r>
          </w:p>
        </w:tc>
        <w:tc>
          <w:tcPr/>
          <w:p>
            <w:pPr>
              <w:pStyle w:val="Compact"/>
            </w:pPr>
            <w:r>
              <w:t xml:space="preserve">Green-priority</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pPr>
            <w:r>
              <w:t xml:space="preserve">Geospatial Kernel</w:t>
            </w:r>
          </w:p>
        </w:tc>
        <w:tc>
          <w:tcPr/>
          <w:p>
            <w:pPr>
              <w:pStyle w:val="Compact"/>
            </w:pPr>
            <w:r>
              <w:t xml:space="preserve">Green-priority</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Green-priority</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pPr>
            <w:r>
              <w:t xml:space="preserve">FLUS-style ANN–CA</w:t>
            </w:r>
          </w:p>
        </w:tc>
        <w:tc>
          <w:tcPr/>
          <w:p>
            <w:pPr>
              <w:pStyle w:val="Compact"/>
            </w:pPr>
            <w:r>
              <w:t xml:space="preserve">High outward</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pPr>
            <w:r>
              <w:t xml:space="preserve">Geospatial Kernel</w:t>
            </w:r>
          </w:p>
        </w:tc>
        <w:tc>
          <w:tcPr/>
          <w:p>
            <w:pPr>
              <w:pStyle w:val="Compact"/>
            </w:pPr>
            <w:r>
              <w:t xml:space="preserve">High outward</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High outward</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23"/>
    <w:bookmarkStart w:id="24"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Figure 4A shows the proposal controls, while Fig. 4B–D reports runtime and planning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24"/>
    <w:bookmarkStart w:id="2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bookmarkEnd w:id="25"/>
    <w:bookmarkEnd w:id="26"/>
    <w:bookmarkStart w:id="27"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noisy annual labels. The defensible contribution is that a transition proposal and a planning admission rule can be represented and inspected separately. Under the unmatched public-data pipeline, Geospatial Kernel has the largest strict transition FoM at the one-step horizon, while GeoFM-LDN has the largest value after recursive two-step rollout. The dual-year confidence filter retains only 0.56% and 0.66% of observed changes in 2023 and 2024, respectively; the preceding-year-only variant retains 2.87% and 1.10%. These subsets are not skill tests, but their event-dependent selection shows why full-grid rankings cannot be interpreted as validated urban-change skill. We therefore treat the planning frontier as conditional on public proxy objectives and synthetic actions.</w:t>
      </w:r>
    </w:p>
    <w:p>
      <w:pPr>
        <w:pStyle w:val="BodyText"/>
      </w:pPr>
      <w:r>
        <w:t xml:space="preserve">The evidence remains bounded. The six classes are remote-sensing land cover, not</w:t>
      </w:r>
      <w:r>
        <w:t xml:space="preserve"> </w:t>
      </w:r>
      <w:r>
        <w:t xml:space="preserve">statutory residential, commercial or industrial land use. Dynamic World labels</w:t>
      </w:r>
      <w:r>
        <w:t xml:space="preserve"> </w:t>
      </w:r>
      <w:r>
        <w:t xml:space="preserve">show substantial annual uncertainty and apparent turnover; no independent</w:t>
      </w:r>
      <w:r>
        <w:t xml:space="preserve"> </w:t>
      </w:r>
      <w:r>
        <w:t xml:space="preserve">2023–2024 change product or observed 2025–2031 labels was available. Public</w:t>
      </w:r>
      <w:r>
        <w:t xml:space="preserve"> </w:t>
      </w:r>
      <w:r>
        <w:t xml:space="preserve">roads, wetland and protected-area layers are proxies, future drivers are held at</w:t>
      </w:r>
      <w:r>
        <w:t xml:space="preserve"> </w:t>
      </w:r>
      <w:r>
        <w:t xml:space="preserve">2024, and the green-priority action has no water-budget constraint. The FLUS-style</w:t>
      </w:r>
      <w:r>
        <w:t xml:space="preserve"> </w:t>
      </w:r>
      <w:r>
        <w:t xml:space="preserve">control is an Apple-Silicon binary rebuilt from the public GeoSOS source base</w:t>
      </w:r>
      <w:r>
        <w:t xml:space="preserve"> </w:t>
      </w:r>
      <w:r>
        <w:t xml:space="preserve">with the author’s</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End w:id="27"/>
    <w:bookmarkStart w:id="28"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rPr>
          <w:rStyle w:val="VerbatimChar"/>
        </w:rPr>
        <w:t xml:space="preserve">data_audit.json</w:t>
      </w:r>
      <w:r>
        <w:t xml:space="preserve">,</w:t>
      </w:r>
      <w:r>
        <w:t xml:space="preserve"> </w:t>
      </w:r>
      <w:r>
        <w:rPr>
          <w:rStyle w:val="VerbatimChar"/>
        </w:rPr>
        <w:t xml:space="preserve">protocol.json</w:t>
      </w:r>
      <w:r>
        <w:t xml:space="preserve">,</w:t>
      </w:r>
      <w:r>
        <w:t xml:space="preserve"> </w:t>
      </w:r>
      <w:r>
        <w:rPr>
          <w:rStyle w:val="VerbatimChar"/>
        </w:rPr>
        <w:t xml:space="preserve">gee_input_manifest.json</w:t>
      </w:r>
      <w:r>
        <w:t xml:space="preserve"> </w:t>
      </w:r>
      <w:r>
        <w:t xml:space="preserve">and</w:t>
      </w:r>
      <w:r>
        <w:t xml:space="preserve"> </w:t>
      </w:r>
      <w:r>
        <w:rPr>
          <w:rStyle w:val="VerbatimChar"/>
        </w:rPr>
        <w:t xml:space="preserve">osm_input_manifest.json</w:t>
      </w:r>
      <w:r>
        <w:t xml:space="preserve"> </w:t>
      </w:r>
      <w:r>
        <w:t xml:space="preserve">for data provenance;</w:t>
      </w:r>
    </w:p>
    <w:p>
      <w:pPr>
        <w:pStyle w:val="Compact"/>
        <w:numPr>
          <w:ilvl w:val="0"/>
          <w:numId w:val="1002"/>
        </w:numPr>
      </w:pPr>
      <w:r>
        <w:t xml:space="preserve">The released bundle includes the aligned 2017–2024 public rasters, historical seed and ensemble prediction rasters, 2025–2031 planning seed and ensemble rasters, nine GeoPackages of dissolved change footprints, the mechanism-ablation report, model checkpoints, and the SHA-256 manifest. Text hashes use canonical LF line endings, and the byte-length check applies the same normalization on text records, so a Windows checkout with</w:t>
      </w:r>
      <w:r>
        <w:t xml:space="preserve"> </w:t>
      </w:r>
      <w:r>
        <w:rPr>
          <w:rStyle w:val="VerbatimChar"/>
        </w:rPr>
        <w:t xml:space="preserve">core.autocrlf=true</w:t>
      </w:r>
      <w:r>
        <w:t xml:space="preserve"> </w:t>
      </w:r>
      <w:r>
        <w:t xml:space="preserve">can pass the manifest gate. The locked macOS arm64 execution environment remains the reference for model outputs. An archived arm64 Linux rerun of the six historical Kernel rasters differed from the macOS reference by 498–1,147 valid cells (0.62%–1.44%), with strict-FoM deltas from -0.0023 to +0.0010; these cross-stack differences are quantified rather than treated as categorical identity. An author-controlled GitHub Actions Ubuntu x86_64 rerun of all six rasters under the resolved lock had zero categorical differences; the audit is archived as</w:t>
      </w:r>
      <w:r>
        <w:t xml:space="preserve"> </w:t>
      </w:r>
      <w:r>
        <w:rPr>
          <w:rStyle w:val="VerbatimChar"/>
        </w:rPr>
        <w:t xml:space="preserve">artifacts/cross_platform/github_actions_ubuntu_x86_64_kernel_reference_e06a997.json</w:t>
      </w:r>
      <w:r>
        <w:t xml:space="preserve"> </w:t>
      </w:r>
      <w:r>
        <w:t xml:space="preserve">and the workflow is versioned under</w:t>
      </w:r>
      <w:r>
        <w:t xml:space="preserve"> </w:t>
      </w:r>
      <w:r>
        <w:rPr>
          <w:rStyle w:val="VerbatimChar"/>
        </w:rPr>
        <w:t xml:space="preserve">.github/workflows/</w:t>
      </w:r>
      <w:r>
        <w:t xml:space="preserve">. Reviewer-provided Windows values remain separately labelled as external verification only for FLUS because the corresponding Windows rasters are not archived locally. No private database address, credential or client-only service is included. Authoritative Abu Dhabi land-use and independent change-validation data remain outside this study.</w:t>
      </w:r>
    </w:p>
    <w:bookmarkEnd w:id="28"/>
    <w:bookmarkStart w:id="29"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data_agent/uwm/geospatial_kernel/runtime.py</w:t>
      </w:r>
      <w:r>
        <w:t xml:space="preserve"> </w:t>
      </w:r>
      <w:r>
        <w:t xml:space="preserve">for the vendored runtime snapshot;</w:t>
      </w:r>
    </w:p>
    <w:p>
      <w:pPr>
        <w:pStyle w:val="Compact"/>
        <w:numPr>
          <w:ilvl w:val="0"/>
          <w:numId w:val="1003"/>
        </w:numPr>
      </w:pPr>
      <w:r>
        <w:rPr>
          <w:rStyle w:val="VerbatimChar"/>
        </w:rPr>
        <w:t xml:space="preserve">render_nature_figures.py</w:t>
      </w:r>
      <w:r>
        <w:t xml:space="preserve"> </w:t>
      </w:r>
      <w:r>
        <w:t xml:space="preserve">for publication artwork.</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under</w:t>
      </w:r>
      <w:r>
        <w:t xml:space="preserve"> </w:t>
      </w:r>
      <w:r>
        <w:rPr>
          <w:rStyle w:val="VerbatimChar"/>
        </w:rPr>
        <w:t xml:space="preserve">benchmarks/abu_dhabi_land_use_v1/external/</w:t>
      </w:r>
      <w:r>
        <w:t xml:space="preserve"> </w:t>
      </w:r>
      <w:r>
        <w:t xml:space="preserve">and</w:t>
      </w:r>
      <w:r>
        <w:t xml:space="preserve"> </w:t>
      </w:r>
      <w:r>
        <w:rPr>
          <w:rStyle w:val="VerbatimChar"/>
        </w:rPr>
        <w:t xml:space="preserve">artifacts/predictions/</w:t>
      </w:r>
      <w:r>
        <w:t xml:space="preserve">.</w:t>
      </w:r>
      <w:r>
        <w:t xml:space="preserve"> </w:t>
      </w:r>
      <w:r>
        <w:t xml:space="preserve">Earlier internal reference outputs, produced before the dependency lock was</w:t>
      </w:r>
      <w:r>
        <w:t xml:space="preserve"> </w:t>
      </w:r>
      <w:r>
        <w:t xml:space="preserve">completed, could not be regenerated under the resolved environment and were</w:t>
      </w:r>
      <w:r>
        <w:t xml:space="preserve"> </w:t>
      </w:r>
      <w:r>
        <w:t xml:space="preserve">superseded by the locked-environment rerun reported here. Historical strict-FoM</w:t>
      </w:r>
      <w:r>
        <w:t xml:space="preserve"> </w:t>
      </w:r>
      <w:r>
        <w:t xml:space="preserve">differences were at approximately the 0.001 level; discrete multi-year planning</w:t>
      </w:r>
      <w:r>
        <w:t xml:space="preserve"> </w:t>
      </w:r>
      <w:r>
        <w:t xml:space="preserve">ensemble demand errors changed more substantially and are reported here only</w:t>
      </w:r>
      <w:r>
        <w:t xml:space="preserve"> </w:t>
      </w:r>
      <w:r>
        <w:t xml:space="preserve">from the locked-environment rerun. The prior outputs remain Git-history lineage,</w:t>
      </w:r>
      <w:r>
        <w:t xml:space="preserve"> </w:t>
      </w:r>
      <w:r>
        <w:t xml:space="preserve">not current evidence.</w:t>
      </w:r>
      <w:r>
        <w:t xml:space="preserve"> </w:t>
      </w:r>
      <w:r>
        <w:t xml:space="preserve">The vendored FLUS executable is a macOS arm64 binary rebuilt from the GeoSOS</w:t>
      </w:r>
      <w:r>
        <w:t xml:space="preserve"> </w:t>
      </w:r>
      <w:r>
        <w:t xml:space="preserve">public FLUS source base. The author-modified source, including</w:t>
      </w:r>
      <w:r>
        <w:t xml:space="preserve"> </w:t>
      </w:r>
      <w:r>
        <w:rPr>
          <w:rStyle w:val="VerbatimChar"/>
        </w:rPr>
        <w:t xml:space="preserve">train-update</w:t>
      </w:r>
      <w:r>
        <w:t xml:space="preserve"> </w:t>
      </w:r>
      <w:r>
        <w:t xml:space="preserve">and</w:t>
      </w:r>
      <w:r>
        <w:t xml:space="preserve"> </w:t>
      </w:r>
      <w:r>
        <w:rPr>
          <w:rStyle w:val="VerbatimChar"/>
        </w:rPr>
        <w:t xml:space="preserve">FLUS_RANDOM_SEED</w:t>
      </w:r>
      <w:r>
        <w:t xml:space="preserve">, is archived at</w:t>
      </w:r>
      <w:r>
        <w:t xml:space="preserve"> </w:t>
      </w:r>
      <w:r>
        <w:rPr>
          <w:rStyle w:val="VerbatimChar"/>
        </w:rPr>
        <w:t xml:space="preserve">https://github.com/zhouning/FLUS_console_crossplatform</w:t>
      </w:r>
      <w:r>
        <w:t xml:space="preserve">, tag</w:t>
      </w:r>
      <w:r>
        <w:t xml:space="preserve"> </w:t>
      </w:r>
      <w:r>
        <w:rPr>
          <w:rStyle w:val="VerbatimChar"/>
        </w:rPr>
        <w:t xml:space="preserve">paper-benchmark-flus-v1.1</w:t>
      </w:r>
      <w:r>
        <w:t xml:space="preserve"> </w:t>
      </w:r>
      <w:r>
        <w:t xml:space="preserve">at commit</w:t>
      </w:r>
      <w:r>
        <w:t xml:space="preserve"> </w:t>
      </w:r>
      <w:r>
        <w:rPr>
          <w:rStyle w:val="VerbatimChar"/>
        </w:rPr>
        <w:t xml:space="preserve">47e65b3</w:t>
      </w:r>
      <w:r>
        <w:t xml:space="preserve"> </w:t>
      </w:r>
      <w:r>
        <w:t xml:space="preserve">(the GeoSOS source release and Liu et al. (2017) are cited above). Rebuilding</w:t>
      </w:r>
      <w:r>
        <w:t xml:space="preserve"> </w:t>
      </w:r>
      <w:r>
        <w:t xml:space="preserve">the preceding v1 commit (</w:t>
      </w:r>
      <w:r>
        <w:rPr>
          <w:rStyle w:val="VerbatimChar"/>
        </w:rPr>
        <w:t xml:space="preserve">deb0a54</w:t>
      </w:r>
      <w:r>
        <w:t xml:space="preserve">) on macOS arm64 produced SHA-256</w:t>
      </w:r>
      <w:r>
        <w:t xml:space="preserve"> </w:t>
      </w:r>
      <w:r>
        <w:rPr>
          <w:rStyle w:val="VerbatimChar"/>
        </w:rPr>
        <w:t xml:space="preserve">9839ce50950442d4ef49e4d2129a1ba27735e1955c2d4975ae51067c1c3c9964</w:t>
      </w:r>
      <w:r>
        <w:t xml:space="preserve">,</w:t>
      </w:r>
      <w:r>
        <w:t xml:space="preserve"> </w:t>
      </w:r>
      <w:r>
        <w:t xml:space="preserve">identical to the vendored executable. Version v1.1 changes only invalid-input</w:t>
      </w:r>
      <w:r>
        <w:t xml:space="preserve"> </w:t>
      </w:r>
      <w:r>
        <w:t xml:space="preserve">failure handling and leaves valid-input algorithmic paths unchanged; the</w:t>
      </w:r>
      <w:r>
        <w:t xml:space="preserve"> </w:t>
      </w:r>
      <w:r>
        <w:t xml:space="preserve">normal-output equivalence check is archived with the source release.</w:t>
      </w:r>
      <w:r>
        <w:t xml:space="preserve"> </w:t>
      </w:r>
      <w:r>
        <w:t xml:space="preserve">The tagged author-modified source can also be built on Linux and Windows using</w:t>
      </w:r>
      <w:r>
        <w:t xml:space="preserve"> </w:t>
      </w:r>
      <w:r>
        <w:t xml:space="preserve">the repository instructions.</w:t>
      </w:r>
      <w:r>
        <w:t xml:space="preserve"> </w:t>
      </w:r>
      <w:r>
        <w:rPr>
          <w:rStyle w:val="VerbatimChar"/>
        </w:rPr>
        <w:t xml:space="preserve">FLUS_RANDOM_SEED</w:t>
      </w:r>
      <w:r>
        <w:t xml:space="preserve"> </w:t>
      </w:r>
      <w:r>
        <w:t xml:space="preserve">guarantees determinism only</w:t>
      </w:r>
      <w:r>
        <w:t xml:space="preserve"> </w:t>
      </w:r>
      <w:r>
        <w:t xml:space="preserve">within a platform and build environment because ANN sampling and CA roulette</w:t>
      </w:r>
      <w:r>
        <w:t xml:space="preserve"> </w:t>
      </w:r>
      <w:r>
        <w:t xml:space="preserve">draws use platform-defined C</w:t>
      </w:r>
      <w:r>
        <w:t xml:space="preserve"> </w:t>
      </w:r>
      <w:r>
        <w:rPr>
          <w:rStyle w:val="VerbatimChar"/>
        </w:rPr>
        <w:t xml:space="preserve">rand()</w:t>
      </w:r>
      <w:r>
        <w:t xml:space="preserve">/</w:t>
      </w:r>
      <w:r>
        <w:rPr>
          <w:rStyle w:val="VerbatimChar"/>
        </w:rPr>
        <w:t xml:space="preserve">srand()</w:t>
      </w:r>
      <w:r>
        <w:t xml:space="preserve"> </w:t>
      </w:r>
      <w:r>
        <w:t xml:space="preserve">streams. The reviewer-provided</w:t>
      </w:r>
      <w:r>
        <w:t xml:space="preserve"> </w:t>
      </w:r>
      <w:r>
        <w:t xml:space="preserve">Windows rerun differed from macOS by approximately 2–4% of valid categorical</w:t>
      </w:r>
      <w:r>
        <w:t xml:space="preserve"> </w:t>
      </w:r>
      <w:r>
        <w:t xml:space="preserve">cells for the seven-driver control, and all three Windows 25-feature runs</w:t>
      </w:r>
      <w:r>
        <w:t xml:space="preserve"> </w:t>
      </w:r>
      <w:r>
        <w:t xml:space="preserve">collapsed to zero change. Windows execution requires the benchmark and working</w:t>
      </w:r>
      <w:r>
        <w:t xml:space="preserve"> </w:t>
      </w:r>
      <w:r>
        <w:t xml:space="preserve">directories to use pure ASCII paths; saving configuration files as UTF-8 alone</w:t>
      </w:r>
      <w:r>
        <w:t xml:space="preserve"> </w:t>
      </w:r>
      <w:r>
        <w:t xml:space="preserve">does not repair GDAL path decoding. A compatible local build is required to</w:t>
      </w:r>
      <w:r>
        <w:t xml:space="preserve"> </w:t>
      </w:r>
      <w:r>
        <w:t xml:space="preserve">execute the FLUS track outside macOS arm64 and will produce a different random</w:t>
      </w:r>
      <w:r>
        <w:t xml:space="preserve"> </w:t>
      </w:r>
      <w:r>
        <w:t xml:space="preserve">stream. The macOS binary SHA statement is an author self-check. As an</w:t>
      </w:r>
      <w:r>
        <w:t xml:space="preserve"> </w:t>
      </w:r>
      <w:r>
        <w:t xml:space="preserve">upstream-only fallback, the public FLUS CA source can be paired with an open</w:t>
      </w:r>
      <w:r>
        <w:t xml:space="preserve"> </w:t>
      </w:r>
      <w:r>
        <w:t xml:space="preserve">Python ANN implementation, but the unmodified upstream CA uses time seeding</w:t>
      </w:r>
      <w:r>
        <w:t xml:space="preserve"> </w:t>
      </w:r>
      <w:r>
        <w:t xml:space="preserve">rather than</w:t>
      </w:r>
      <w:r>
        <w:t xml:space="preserve"> </w:t>
      </w:r>
      <w:r>
        <w:rPr>
          <w:rStyle w:val="VerbatimChar"/>
        </w:rPr>
        <w:t xml:space="preserve">FLUS_RANDOM_SEED</w:t>
      </w:r>
      <w:r>
        <w:t xml:space="preserve">. The corresponding-author e-mail is</w:t>
      </w:r>
      <w:r>
        <w:t xml:space="preserve"> </w:t>
      </w:r>
      <w:r>
        <w:rPr>
          <w:rStyle w:val="VerbatimChar"/>
        </w:rPr>
        <w:t xml:space="preserve">zhouning@freedotech.com</w:t>
      </w:r>
      <w:r>
        <w:t xml:space="preserve">; an archival DOI should be added after a persistent</w:t>
      </w:r>
      <w:r>
        <w:t xml:space="preserve"> </w:t>
      </w:r>
      <w:r>
        <w:t xml:space="preserve">public release is created.</w:t>
      </w:r>
    </w:p>
    <w:bookmarkEnd w:id="29"/>
    <w:bookmarkStart w:id="30"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None.</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30"/>
    <w:bookmarkStart w:id="31"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et al.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Gorelick, N., et al.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et al. (2021). A patch-generating land use simulation model integrating multisource data for urban growth simulation.</w:t>
      </w:r>
      <w:r>
        <w:t xml:space="preserve"> </w:t>
      </w:r>
      <w:r>
        <w:rPr>
          <w:i/>
          <w:iCs/>
        </w:rPr>
        <w:t xml:space="preserve">Landscape and Urban Planning</w:t>
      </w:r>
      <w:r>
        <w:t xml:space="preserve">, 214, 104157. https://doi.org/10.1016/j.landurbplan.2021.104157</w:t>
      </w:r>
    </w:p>
    <w:p>
      <w:pPr>
        <w:pStyle w:val="BodyText"/>
      </w:pPr>
      <w:r>
        <w:t xml:space="preserve">Liu, X., et al.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Pontius, R. G., Jr., Boersma, W., Castella, J.-C., et al. (2008). Comparing the input, output, and validation maps for several models of land change.</w:t>
      </w:r>
      <w:r>
        <w:t xml:space="preserve"> </w:t>
      </w:r>
      <w:r>
        <w:rPr>
          <w:i/>
          <w:iCs/>
        </w:rPr>
        <w:t xml:space="preserve">The Annals of Regional Science</w:t>
      </w:r>
      <w:r>
        <w:t xml:space="preserve">, 42, 11–37. DOI: 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DOI: 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https://doi.org/10.1016/S0198-9715(01)00017-8</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Rietveld, P., &amp; Verburg, P. H. (2011). Modeling land-use change with cellular automata: Issues and recommendations.</w:t>
      </w:r>
      <w:r>
        <w:t xml:space="preserve"> </w:t>
      </w:r>
      <w:r>
        <w:rPr>
          <w:i/>
          <w:iCs/>
        </w:rPr>
        <w:t xml:space="preserve">Journal of Land Use Science</w:t>
      </w:r>
      <w:r>
        <w:t xml:space="preserve">, 6, 247–265. https://doi.org/10.1080/1747423X.2011.562018</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et al. (2002). Modeling the spatial dynamics of regional land use: the CLUE-S model.</w:t>
      </w:r>
      <w:r>
        <w:t xml:space="preserve"> </w:t>
      </w:r>
      <w:r>
        <w:rPr>
          <w:i/>
          <w:iCs/>
        </w:rPr>
        <w:t xml:space="preserve">Environmental Management</w:t>
      </w:r>
      <w:r>
        <w:t xml:space="preserve">, 30, 391–405. https://doi.org/10.1007/s00267-002-2631-x</w:t>
      </w:r>
    </w:p>
    <w:p>
      <w:pPr>
        <w:pStyle w:val="BodyText"/>
      </w:pPr>
      <w:r>
        <w:t xml:space="preserve">Zanaga, D., et al. (2022). ESA WorldCover 10 m 2021 v200. Zenodo. https://doi.org/10.5281/zenodo.7254221</w:t>
      </w:r>
    </w:p>
    <w:bookmarkEnd w:id="31"/>
    <w:bookmarkStart w:id="47" w:name="figure-legends"/>
    <w:p>
      <w:pPr>
        <w:pStyle w:val="Heading2"/>
      </w:pPr>
      <w:r>
        <w:t xml:space="preserve">Figure legends</w:t>
      </w:r>
    </w:p>
    <w:p>
      <w:pPr>
        <w:pStyle w:val="FirstParagraph"/>
      </w:pPr>
      <w:r>
        <w:drawing>
          <wp:inline>
            <wp:extent cx="5334000" cy="3481042"/>
            <wp:effectExtent b="0" l="0" r="0" t="0"/>
            <wp:docPr descr="" title="" id="33" name="Picture"/>
            <a:graphic>
              <a:graphicData uri="http://schemas.openxmlformats.org/drawingml/2006/picture">
                <pic:pic>
                  <pic:nvPicPr>
                    <pic:cNvPr descr="figures/fig01_benchmark_contract.png" id="34" name="Picture"/>
                    <pic:cNvPicPr>
                      <a:picLocks noChangeArrowheads="1" noChangeAspect="1"/>
                    </pic:cNvPicPr>
                  </pic:nvPicPr>
                  <pic:blipFill>
                    <a:blip r:embed="rId32"/>
                    <a:stretch>
                      <a:fillRect/>
                    </a:stretch>
                  </pic:blipFill>
                  <pic:spPr bwMode="auto">
                    <a:xfrm>
                      <a:off x="0" y="0"/>
                      <a:ext cx="5334000" cy="3481042"/>
                    </a:xfrm>
                    <a:prstGeom prst="rect">
                      <a:avLst/>
                    </a:prstGeom>
                    <a:noFill/>
                    <a:ln w="9525">
                      <a:noFill/>
                      <a:headEnd/>
                      <a:tailEnd/>
                    </a:ln>
                  </pic:spPr>
                </pic:pic>
              </a:graphicData>
            </a:graphic>
          </wp:inline>
        </w:drawing>
      </w:r>
    </w:p>
    <w:p>
      <w:pPr>
        <w:pStyle w:val="BodyText"/>
      </w:pPr>
      <w:r>
        <w:rPr>
          <w:b/>
          <w:bCs/>
        </w:rPr>
        <w:t xml:space="preserve">Figure 1 | Benchmark and Geospatial Kernel execution contract.</w:t>
      </w:r>
      <w:r>
        <w:t xml:space="preserve"> </w:t>
      </w:r>
      <w:r>
        <w:t xml:space="preserve">Public annual land-cover, embedding, night-light, terrain and road layers are aligned to a common 100-m Abu Dhabi grid. Each model receives the same state, action and public proxy exclusions. The Geospatial Kernel exposes a learned proposal, constraint projection and state writeback. Historical, open-loop and planning tracks use one audit contract. The schematic does not imply statutory planning boundaries.</w:t>
      </w:r>
    </w:p>
    <w:p>
      <w:pPr>
        <w:pStyle w:val="BodyText"/>
      </w:pPr>
      <w:r>
        <w:drawing>
          <wp:inline>
            <wp:extent cx="5334000" cy="2561061"/>
            <wp:effectExtent b="0" l="0" r="0" t="0"/>
            <wp:docPr descr="" title="" id="36" name="Picture"/>
            <a:graphic>
              <a:graphicData uri="http://schemas.openxmlformats.org/drawingml/2006/picture">
                <pic:pic>
                  <pic:nvPicPr>
                    <pic:cNvPr descr="figures/fig02_historical_validation.png" id="37" name="Picture"/>
                    <pic:cNvPicPr>
                      <a:picLocks noChangeArrowheads="1" noChangeAspect="1"/>
                    </pic:cNvPicPr>
                  </pic:nvPicPr>
                  <pic:blipFill>
                    <a:blip r:embed="rId35"/>
                    <a:stretch>
                      <a:fillRect/>
                    </a:stretch>
                  </pic:blipFill>
                  <pic:spPr bwMode="auto">
                    <a:xfrm>
                      <a:off x="0" y="0"/>
                      <a:ext cx="5334000" cy="2561061"/>
                    </a:xfrm>
                    <a:prstGeom prst="rect">
                      <a:avLst/>
                    </a:prstGeom>
                    <a:noFill/>
                    <a:ln w="9525">
                      <a:noFill/>
                      <a:headEnd/>
                      <a:tailEnd/>
                    </a:ln>
                  </pic:spPr>
                </pic:pic>
              </a:graphicData>
            </a:graphic>
          </wp:inline>
        </w:drawing>
      </w:r>
    </w:p>
    <w:p>
      <w:pPr>
        <w:pStyle w:val="BodyText"/>
      </w:pPr>
      <w:r>
        <w:rPr>
          <w:b/>
          <w:bCs/>
        </w:rPr>
        <w:t xml:space="preserve">Figure 2 | Historical allocation skill.</w:t>
      </w:r>
      <w:r>
        <w:t xml:space="preserve"> </w:t>
      </w:r>
      <w:r>
        <w:t xml:space="preserve">Bars show the revised strict</w:t>
      </w:r>
      <w:r>
        <w:t xml:space="preserve"> </w:t>
      </w:r>
      <w:r>
        <w:t xml:space="preserve">multi-class FoM, change F1, overall accuracy and macro-F1 for the 2023 one-step</w:t>
      </w:r>
      <w:r>
        <w:t xml:space="preserve"> </w:t>
      </w:r>
      <w:r>
        <w:t xml:space="preserve">and 2024 two-step open-loop tests, with persistence and random minimum-change</w:t>
      </w:r>
      <w:r>
        <w:t xml:space="preserve"> </w:t>
      </w:r>
      <w:r>
        <w:t xml:space="preserve">controls. Error bars show population standard deviation across the three frozen</w:t>
      </w:r>
      <w:r>
        <w:t xml:space="preserve"> </w:t>
      </w:r>
      <w:r>
        <w:t xml:space="preserve">seeds for the three main models. The 13-, 19- and 25-feature FLUS diagnostics</w:t>
      </w:r>
      <w:r>
        <w:t xml:space="preserve"> </w:t>
      </w:r>
      <w:r>
        <w:t xml:space="preserve">are reported separately in Supplementary Table S3. Paired spatial-block</w:t>
      </w:r>
      <w:r>
        <w:t xml:space="preserve"> </w:t>
      </w:r>
      <w:r>
        <w:t xml:space="preserve">intervals for the main models are reported in the machine-readable comparison</w:t>
      </w:r>
      <w:r>
        <w:t xml:space="preserve"> </w:t>
      </w:r>
      <w:r>
        <w:t xml:space="preserve">report.</w:t>
      </w:r>
    </w:p>
    <w:p>
      <w:pPr>
        <w:pStyle w:val="BodyText"/>
      </w:pPr>
      <w:r>
        <w:drawing>
          <wp:inline>
            <wp:extent cx="5334000" cy="3550480"/>
            <wp:effectExtent b="0" l="0" r="0" t="0"/>
            <wp:docPr descr="" title="" id="39" name="Picture"/>
            <a:graphic>
              <a:graphicData uri="http://schemas.openxmlformats.org/drawingml/2006/picture">
                <pic:pic>
                  <pic:nvPicPr>
                    <pic:cNvPr descr="figures/fig03_planning_objectives.png" id="40" name="Picture"/>
                    <pic:cNvPicPr>
                      <a:picLocks noChangeArrowheads="1" noChangeAspect="1"/>
                    </pic:cNvPicPr>
                  </pic:nvPicPr>
                  <pic:blipFill>
                    <a:blip r:embed="rId38"/>
                    <a:stretch>
                      <a:fillRect/>
                    </a:stretch>
                  </pic:blipFill>
                  <pic:spPr bwMode="auto">
                    <a:xfrm>
                      <a:off x="0" y="0"/>
                      <a:ext cx="5334000" cy="3550480"/>
                    </a:xfrm>
                    <a:prstGeom prst="rect">
                      <a:avLst/>
                    </a:prstGeom>
                    <a:noFill/>
                    <a:ln w="9525">
                      <a:noFill/>
                      <a:headEnd/>
                      <a:tailEnd/>
                    </a:ln>
                  </pic:spPr>
                </pic:pic>
              </a:graphicData>
            </a:graphic>
          </wp:inline>
        </w:drawing>
      </w:r>
    </w:p>
    <w:p>
      <w:pPr>
        <w:pStyle w:val="BodyText"/>
      </w:pPr>
      <w:r>
        <w:rPr>
          <w:b/>
          <w:bCs/>
        </w:rPr>
        <w:t xml:space="preserve">Figure 3 | Conditional planning objectives and morphology diagnostics.</w:t>
      </w:r>
      <w:r>
        <w:t xml:space="preserve"> </w:t>
      </w:r>
      <w:r>
        <w:t xml:space="preserve">The</w:t>
      </w:r>
      <w:r>
        <w:t xml:space="preserve"> </w:t>
      </w:r>
      <w:r>
        <w:t xml:space="preserve">2031 outcomes compare the three models under moderate-growth, green-priority-</w:t>
      </w:r>
      <w:r>
        <w:t xml:space="preserve"> </w:t>
      </w:r>
      <w:r>
        <w:t xml:space="preserve">growth and high-outward-growth actions. Panels A–C show the release objectives:</w:t>
      </w:r>
      <w:r>
        <w:t xml:space="preserve"> </w:t>
      </w:r>
      <w:r>
        <w:t xml:space="preserve">distance to major roads, distance to prior built cells and components in the</w:t>
      </w:r>
      <w:r>
        <w:t xml:space="preserve"> </w:t>
      </w:r>
      <w:r>
        <w:t xml:space="preserve">combined 2024-built and newly built footprint per 1,000 valid cells. Panel D shows</w:t>
      </w:r>
      <w:r>
        <w:t xml:space="preserve"> </w:t>
      </w:r>
      <w:r>
        <w:t xml:space="preserve">ecological conversion as a descriptive diagnostic; panel E shows vegetation gain</w:t>
      </w:r>
      <w:r>
        <w:t xml:space="preserve"> </w:t>
      </w:r>
      <w:r>
        <w:t xml:space="preserve">as a scenario-input diagnostic; panel F shows the 500-m leapfrog rate. Stars mark</w:t>
      </w:r>
      <w:r>
        <w:t xml:space="preserve"> </w:t>
      </w:r>
      <w:r>
        <w:t xml:space="preserve">non-dominated candidates within each scenario; bars show means ± population SD</w:t>
      </w:r>
      <w:r>
        <w:t xml:space="preserve"> </w:t>
      </w:r>
      <w:r>
        <w:t xml:space="preserve">across three seeds.</w:t>
      </w:r>
    </w:p>
    <w:p>
      <w:pPr>
        <w:pStyle w:val="BodyText"/>
      </w:pPr>
      <w:r>
        <w:drawing>
          <wp:inline>
            <wp:extent cx="5334000" cy="3703670"/>
            <wp:effectExtent b="0" l="0" r="0" t="0"/>
            <wp:docPr descr="" title="" id="42" name="Picture"/>
            <a:graphic>
              <a:graphicData uri="http://schemas.openxmlformats.org/drawingml/2006/picture">
                <pic:pic>
                  <pic:nvPicPr>
                    <pic:cNvPr descr="figures/fig04_mechanism_ablation.png" id="43" name="Picture"/>
                    <pic:cNvPicPr>
                      <a:picLocks noChangeArrowheads="1" noChangeAspect="1"/>
                    </pic:cNvPicPr>
                  </pic:nvPicPr>
                  <pic:blipFill>
                    <a:blip r:embed="rId41"/>
                    <a:stretch>
                      <a:fillRect/>
                    </a:stretch>
                  </pic:blipFill>
                  <pic:spPr bwMode="auto">
                    <a:xfrm>
                      <a:off x="0" y="0"/>
                      <a:ext cx="5334000" cy="3703670"/>
                    </a:xfrm>
                    <a:prstGeom prst="rect">
                      <a:avLst/>
                    </a:prstGeom>
                    <a:noFill/>
                    <a:ln w="9525">
                      <a:noFill/>
                      <a:headEnd/>
                      <a:tailEnd/>
                    </a:ln>
                  </pic:spPr>
                </pic:pic>
              </a:graphicData>
            </a:graphic>
          </wp:inline>
        </w:drawing>
      </w:r>
    </w:p>
    <w:p>
      <w:pPr>
        <w:pStyle w:val="BodyText"/>
      </w:pPr>
      <w:r>
        <w:rPr>
          <w:b/>
          <w:bCs/>
        </w:rPr>
        <w:t xml:space="preserve">Figure 4 | Mechanism controls.</w:t>
      </w:r>
      <w:r>
        <w:t xml:space="preserve"> </w:t>
      </w:r>
      <w:r>
        <w:t xml:space="preserve">Proposal, allocator, action, constraint and</w:t>
      </w:r>
      <w:r>
        <w:t xml:space="preserve"> </w:t>
      </w:r>
      <w:r>
        <w:t xml:space="preserve">writeback controls are compared under the same public-data protocol. Deleting</w:t>
      </w:r>
      <w:r>
        <w:t xml:space="preserve"> </w:t>
      </w:r>
      <w:r>
        <w:t xml:space="preserve">the action lowers historical strict FoM, whereas deleting the hard constraint</w:t>
      </w:r>
      <w:r>
        <w:t xml:space="preserve"> </w:t>
      </w:r>
      <w:r>
        <w:t xml:space="preserve">raises agreement with noisy labels while violating the planning contract.</w:t>
      </w:r>
      <w:r>
        <w:t xml:space="preserve"> </w:t>
      </w:r>
      <w:r>
        <w:t xml:space="preserve">These are diagnostic ablations, not causal policy experiments.</w:t>
      </w:r>
    </w:p>
    <w:p>
      <w:pPr>
        <w:pStyle w:val="BodyText"/>
      </w:pPr>
      <w:r>
        <w:drawing>
          <wp:inline>
            <wp:extent cx="5334000" cy="5443359"/>
            <wp:effectExtent b="0" l="0" r="0" t="0"/>
            <wp:docPr descr="" title="" id="45" name="Picture"/>
            <a:graphic>
              <a:graphicData uri="http://schemas.openxmlformats.org/drawingml/2006/picture">
                <pic:pic>
                  <pic:nvPicPr>
                    <pic:cNvPr descr="figures/fig05_planning_maps_2031.png" id="46" name="Picture"/>
                    <pic:cNvPicPr>
                      <a:picLocks noChangeArrowheads="1" noChangeAspect="1"/>
                    </pic:cNvPicPr>
                  </pic:nvPicPr>
                  <pic:blipFill>
                    <a:blip r:embed="rId44"/>
                    <a:stretch>
                      <a:fillRect/>
                    </a:stretch>
                  </pic:blipFill>
                  <pic:spPr bwMode="auto">
                    <a:xfrm>
                      <a:off x="0" y="0"/>
                      <a:ext cx="5334000" cy="5443359"/>
                    </a:xfrm>
                    <a:prstGeom prst="rect">
                      <a:avLst/>
                    </a:prstGeom>
                    <a:noFill/>
                    <a:ln w="9525">
                      <a:noFill/>
                      <a:headEnd/>
                      <a:tailEnd/>
                    </a:ln>
                  </pic:spPr>
                </pic:pic>
              </a:graphicData>
            </a:graphic>
          </wp:inline>
        </w:drawing>
      </w:r>
    </w:p>
    <w:p>
      <w:pPr>
        <w:pStyle w:val="BodyText"/>
      </w:pPr>
      <w:r>
        <w:rPr>
          <w:b/>
          <w:bCs/>
        </w:rPr>
        <w:t xml:space="preserve">Figure 5 | 2031 spatial footprints.</w:t>
      </w:r>
      <w:r>
        <w:t xml:space="preserve"> </w:t>
      </w:r>
      <w:r>
        <w:t xml:space="preserve">Each panel is a 100-m ensemble raster</w:t>
      </w:r>
      <w:r>
        <w:t xml:space="preserve"> </w:t>
      </w:r>
      <w:r>
        <w:t xml:space="preserve">relative to the observed 2024 state. Overlays identify newly built, newly low-</w:t>
      </w:r>
      <w:r>
        <w:t xml:space="preserve"> </w:t>
      </w:r>
      <w:r>
        <w:t xml:space="preserve">vegetated and retired-built cells; they are raster-cell change footprints, not</w:t>
      </w:r>
      <w:r>
        <w:t xml:space="preserve"> </w:t>
      </w:r>
      <w:r>
        <w:t xml:space="preserve">cadastral parcels.</w:t>
      </w:r>
    </w:p>
    <w:bookmarkEnd w:id="47"/>
    <w:bookmarkStart w:id="48"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4"/>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4"/>
        </w:numPr>
      </w:pPr>
      <w:r>
        <w:rPr>
          <w:b/>
          <w:bCs/>
        </w:rPr>
        <w:t xml:space="preserve">Supplementary Table S4:</w:t>
      </w:r>
      <w:r>
        <w:t xml:space="preserve"> </w:t>
      </w:r>
      <w:r>
        <w:t xml:space="preserve">Raster and vector delivery audit, hashes and layer counts.</w:t>
      </w:r>
    </w:p>
    <w:p>
      <w:pPr>
        <w:pStyle w:val="Compact"/>
        <w:numPr>
          <w:ilvl w:val="0"/>
          <w:numId w:val="1004"/>
        </w:numPr>
      </w:pPr>
      <w:r>
        <w:rPr>
          <w:b/>
          <w:bCs/>
        </w:rPr>
        <w:t xml:space="preserve">Supplementary Figure S1:</w:t>
      </w:r>
      <w:r>
        <w:t xml:space="preserve"> </w:t>
      </w:r>
      <w:r>
        <w:t xml:space="preserve">Dynamic World confidence and high-confidence change sensitivity.</w:t>
      </w:r>
    </w:p>
    <w:p>
      <w:pPr>
        <w:pStyle w:val="Compact"/>
        <w:numPr>
          <w:ilvl w:val="0"/>
          <w:numId w:val="1004"/>
        </w:numPr>
      </w:pPr>
      <w:r>
        <w:rPr>
          <w:b/>
          <w:bCs/>
        </w:rPr>
        <w:t xml:space="preserve">Supplementary Figure S2:</w:t>
      </w:r>
      <w:r>
        <w:t xml:space="preserve"> </w:t>
      </w:r>
      <w:r>
        <w:t xml:space="preserve">Historical maps and change-error maps for 2024.</w:t>
      </w:r>
    </w:p>
    <w:p>
      <w:pPr>
        <w:pStyle w:val="Compact"/>
        <w:numPr>
          <w:ilvl w:val="0"/>
          <w:numId w:val="1004"/>
        </w:numPr>
      </w:pPr>
      <w:r>
        <w:rPr>
          <w:b/>
          <w:bCs/>
        </w:rPr>
        <w:t xml:space="preserve">Supplementary Figure S3:</w:t>
      </w:r>
      <w:r>
        <w:t xml:space="preserve"> </w:t>
      </w:r>
      <w:r>
        <w:t xml:space="preserve">Driver layers and experiment design in English.</w:t>
      </w:r>
    </w:p>
    <w:p>
      <w:r>
        <w:pict>
          <v:rect style="width:0;height:1.5pt" o:hralign="center" o:hrstd="t" o:hr="t"/>
        </w:pic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2026-09-07T09:50:43Z</dcterms:created>
  <dcterms:modified xsi:type="dcterms:W3CDTF">2026-09-07T09:50:43Z</dcterms:modified>
</cp:coreProperties>
</file>

<file path=docProps/custom.xml><?xml version="1.0" encoding="utf-8"?>
<Properties xmlns="http://schemas.openxmlformats.org/officeDocument/2006/custom-properties" xmlns:vt="http://schemas.openxmlformats.org/officeDocument/2006/docPropsVTypes"/>
</file>