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50.png" ContentType="image/png"/>
  <Override PartName="/word/media/rId53.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a792ae9d4bbdc58e2d9589266a4679e28954073"/>
    <w:p>
      <w:pPr>
        <w:pStyle w:val="Heading1"/>
      </w:pPr>
      <w:r>
        <w:t xml:space="preserve">Geospatial Kernel: a state–action–constraint core for urban land-cover planning</w:t>
      </w:r>
    </w:p>
    <w:p>
      <w:pPr>
        <w:pStyle w:val="FirstParagraph"/>
      </w:pPr>
      <w:r>
        <w:rPr>
          <w:b/>
          <w:bCs/>
        </w:rPr>
        <w:t xml:space="preserve">An Abu Dhabi benchmark with conditional multi-year scenario analysis</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w:t>
      </w:r>
    </w:p>
    <w:p>
      <w:pPr>
        <w:pStyle w:val="BodyText"/>
      </w:pPr>
      <w:r>
        <w:t xml:space="preserve">This study is not an official Abu Dhabi planning forecast. Correspondence: Ning Zhou, Beijing Freedo Technology Co., Ltd.</w:t>
      </w:r>
    </w:p>
    <w:bookmarkStart w:id="9" w:name="abstract"/>
    <w:p>
      <w:pPr>
        <w:pStyle w:val="Heading2"/>
      </w:pPr>
      <w:r>
        <w:t xml:space="preserve">Abstract</w:t>
      </w:r>
    </w:p>
    <w:p>
      <w:pPr>
        <w:pStyle w:val="FirstParagraph"/>
      </w:pPr>
      <w:r>
        <w:t xml:space="preserve">Urban land-change models test how development demand may be distributed across space. Their planning value depends on explicit actions, hard constraints and consistent multi-year state transitions. We examine Geospatial Kernel, the algorithmic core of a Geospatial World Model, as an auditable state–action–constraint transition system for urban land-cover allocation. The Abu Dhabi benchmark specifies annual public land-cover products from 2017–2024, a 100-m grid, three computational seeds, destination-correct multi-class change Figure of Merit, persistence and minimum-change controls, spatial-block bootstrap intervals, and a planning objective set spanning ecological conversion, accessibility, leapfrog morphology and built-state stability. The implementation contribution is an inspectable proposal–projection–writeback execution boundary with fail-closed data and output audits. On the analysis workstation, the complete aligned public raster bundle, three-model prediction rasters and GeoFM-LDN checkpoints were recovered from the companion GIS data workspace and re-evaluated with the revised protocol; the repository continues to keep these large files external to version control. The resulting rankings are conditional pipeline comparisons, not claims of intrinsic learner superiority or official Abu Dhabi forecasting. The benchmark keeps public land-cover stress tests separate from authoritative statutory land use.</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constraint projection.</w:t>
      </w:r>
    </w:p>
    <w:p>
      <w:pPr>
        <w:pStyle w:val="Compact"/>
        <w:numPr>
          <w:ilvl w:val="0"/>
          <w:numId w:val="1001"/>
        </w:numPr>
      </w:pPr>
      <w:r>
        <w:t xml:space="preserve">The execution contract separates learned proposals from constrained admission.</w:t>
      </w:r>
    </w:p>
    <w:p>
      <w:pPr>
        <w:pStyle w:val="Compact"/>
        <w:numPr>
          <w:ilvl w:val="0"/>
          <w:numId w:val="1001"/>
        </w:numPr>
      </w:pPr>
      <w:r>
        <w:t xml:space="preserve">Spatial-block uncertainty and paired model contrasts are prespecified.</w:t>
      </w:r>
    </w:p>
    <w:p>
      <w:pPr>
        <w:pStyle w:val="Compact"/>
        <w:numPr>
          <w:ilvl w:val="0"/>
          <w:numId w:val="1001"/>
        </w:numPr>
      </w:pPr>
      <w:r>
        <w:t xml:space="preserve">Four planning dimensions are reported without a weighted composite score.</w:t>
      </w:r>
    </w:p>
    <w:p>
      <w:pPr>
        <w:pStyle w:val="Compact"/>
        <w:numPr>
          <w:ilvl w:val="0"/>
          <w:numId w:val="1001"/>
        </w:numPr>
      </w:pPr>
      <w:r>
        <w:t xml:space="preserve">Public-data scenarios are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such as GeoSOS-FLUS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reports a multi-horizon pipeline comparison with GeoSOS-FLUS and GeoFM-LDN, including a case in which the Kernel does not win, while making the input imbalance explicit. Third, it turns the future maps into explicit stress-test artefacts, including cumulative rasters and vectorized transition footprints, while preserving the distinction between public-data land cover and authoritative legal land use.</w:t>
      </w:r>
    </w:p>
    <w:bookmarkEnd w:id="12"/>
    <w:bookmarkStart w:id="20" w:name="methods"/>
    <w:p>
      <w:pPr>
        <w:pStyle w:val="Heading2"/>
      </w:pPr>
      <w:r>
        <w:t xml:space="preserve">Methods</w:t>
      </w:r>
    </w:p>
    <w:bookmarkStart w:id="13" w:name="Xbffb9f76145a15c16a91fe0938c182a8beaf14a"/>
    <w:p>
      <w:pPr>
        <w:pStyle w:val="Heading3"/>
      </w:pPr>
      <w:r>
        <w:t xml:space="preserve">Study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3"/>
    <w:bookmarkStart w:id="14"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4"/>
    <w:bookmarkStart w:id="15"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5"/>
    <w:bookmarkStart w:id="16"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6"/>
    <w:bookmarkStart w:id="17" w:name="baselines-and-common-evaluator"/>
    <w:p>
      <w:pPr>
        <w:pStyle w:val="Heading3"/>
      </w:pPr>
      <w:r>
        <w:t xml:space="preserve">Baselines and common evaluator</w:t>
      </w:r>
    </w:p>
    <w:p>
      <w:pPr>
        <w:pStyle w:val="FirstParagraph"/>
      </w:pPr>
      <w:r>
        <w:t xml:space="preserve">GeoSOS-FLUS was run through the external FLUS console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this configuration is recorded as a baseline limitation rather than a calibrated Abu Dhabi model.</w:t>
      </w:r>
    </w:p>
    <w:p>
      <w:pPr>
        <w:pStyle w:val="BodyText"/>
      </w:pPr>
      <w:r>
        <w:t xml:space="preserve">GeoFM-LDN (Geospatial Foundation-Model Latent Dynamics Network) was trained as a demand-conditioned latent-dynamics network on AlphaEarth embeddings. A logistic semantic decoder maps the predicted embedding to six class probabilities, and the constrained allocation step converts those probabilities to a categorical raster. The latent and categorical states are both recursively carried into the next year. GeoFM-LDN is an internal benchmark implementation in this manuscript; the name describes its architecture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built component counts, built components per 1,000 valid pixels, a 500-m leapfrog rate, distances to roads and prior built cells, infrastructure proxy distance and built retirement. Pareto membership is calculated over four distinct dimensions: ecological conversion proxy, major-road accessibility, leapfrog morphology and built-state stability.</w:t>
      </w:r>
    </w:p>
    <w:bookmarkEnd w:id="17"/>
    <w:bookmarkStart w:id="18"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w:t>
      </w:r>
    </w:p>
    <w:bookmarkEnd w:id="18"/>
    <w:bookmarkStart w:id="19"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recovered local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19"/>
    <w:bookmarkEnd w:id="20"/>
    <w:bookmarkStart w:id="25" w:name="results"/>
    <w:p>
      <w:pPr>
        <w:pStyle w:val="Heading2"/>
      </w:pPr>
      <w:r>
        <w:t xml:space="preserve">Results</w:t>
      </w:r>
    </w:p>
    <w:bookmarkStart w:id="21"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original public-data run was not information-balanced. GeoSOS-FLUS used seven continuous drivers in its external ANN suitability model, whereas Geospatial Kernel used 25 features including current-class indicators and neighbourhood proportions; GeoFM-LDN used AlphaEarth latent embeddings. We therefore treat the historical ranking as a pipeline comparison, not evidence that one learner is intrinsically superior. A matched-input FLUS rerun is required before making model-level superiority claims. All models used seeds 31, 47 and 73. The earlier output audit reported 240 seed and ensemble rasters for a separate 2025–2030 run; the public 2025–2031 delivery is a separate artifact set and must be audited separately.</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1"/>
    <w:bookmarkStart w:id="22" w:name="X6f9a2d4ed804ba663053bc1190ec42a96e5257d"/>
    <w:p>
      <w:pPr>
        <w:pStyle w:val="Heading3"/>
      </w:pPr>
      <w:r>
        <w:t xml:space="preserve">Results status and prespecified reporting</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prespecified controls.</w:t>
      </w:r>
    </w:p>
    <w:p>
      <w:pPr>
        <w:pStyle w:val="BodyText"/>
      </w:pPr>
      <w:r>
        <w:t xml:space="preserve">The planning track starts from the observed 2024 state and applies three</w:t>
      </w:r>
      <w:r>
        <w:t xml:space="preserve"> </w:t>
      </w:r>
      <w:r>
        <w:t xml:space="preserve">synthetic class-count actions through 2031. The four Pareto dimensions are</w:t>
      </w:r>
      <w:r>
        <w:t xml:space="preserve"> </w:t>
      </w:r>
      <w:r>
        <w:t xml:space="preserve">ecological conversion rate (a public proxy), mean distance of new built cells</w:t>
      </w:r>
      <w:r>
        <w:t xml:space="preserve"> </w:t>
      </w:r>
      <w:r>
        <w:t xml:space="preserve">to major roads, 500-m leapfrog rate and removed built pixels. Built-component</w:t>
      </w:r>
      <w:r>
        <w:t xml:space="preserve"> </w:t>
      </w:r>
      <w:r>
        <w:t xml:space="preserve">density, prior-built distance, demand error and neighbourhood fraction remain</w:t>
      </w:r>
      <w:r>
        <w:t xml:space="preserve"> </w:t>
      </w:r>
      <w:r>
        <w:t xml:space="preserve">descriptive diagnostics. No weighted composite score is used.</w:t>
      </w:r>
    </w:p>
    <w:p>
      <w:pPr>
        <w:pStyle w:val="BodyText"/>
      </w:pPr>
      <w:r>
        <w:t xml:space="preserve">The recovered public-data bundle supports a complete re-scoring of the frozen</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GeoSOS-FLUS, Geospatial Kernel and GeoFM-LDN in 2023, and</w:t>
      </w:r>
      <w:r>
        <w:t xml:space="preserve"> </w:t>
      </w:r>
      <w:r>
        <w:t xml:space="preserve">0.1782, 0.2529 and 0.2708 in 2024, respectively. Thus the Kernel led the</w:t>
      </w:r>
      <w:r>
        <w:t xml:space="preserve"> </w:t>
      </w:r>
      <w:r>
        <w:t xml:space="preserve">one-step 2023 comparison, whereas GeoFM-LDN led the two-step 2024 open-loop</w:t>
      </w:r>
      <w:r>
        <w:t xml:space="preserve"> </w:t>
      </w:r>
      <w:r>
        <w:t xml:space="preserve">comparison; no single model dominated both horizons.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Target year</w:t>
            </w:r>
          </w:p>
        </w:tc>
        <w:tc>
          <w:tcPr/>
          <w:p>
            <w:pPr>
              <w:pStyle w:val="Compact"/>
              <w:jc w:val="right"/>
            </w:pPr>
            <w:r>
              <w:t xml:space="preserve">GeoSOS-FLUS</w:t>
            </w:r>
          </w:p>
        </w:tc>
        <w:tc>
          <w:tcPr/>
          <w:p>
            <w:pPr>
              <w:pStyle w:val="Compact"/>
              <w:jc w:val="right"/>
            </w:pPr>
            <w:r>
              <w:t xml:space="preserve">Geospatial Kernel</w:t>
            </w:r>
          </w:p>
        </w:tc>
        <w:tc>
          <w:tcPr/>
          <w:p>
            <w:pPr>
              <w:pStyle w:val="Compact"/>
              <w:jc w:val="right"/>
            </w:pPr>
            <w:r>
              <w:t xml:space="preserve">GeoFM-LDN</w:t>
            </w:r>
          </w:p>
        </w:tc>
        <w:tc>
          <w:tcPr/>
          <w:p>
            <w:pPr>
              <w:pStyle w:val="Compact"/>
              <w:jc w:val="right"/>
            </w:pPr>
            <w:r>
              <w:t xml:space="preserve">Persistence</w:t>
            </w:r>
          </w:p>
        </w:tc>
        <w:tc>
          <w:tcPr/>
          <w:p>
            <w:pPr>
              <w:pStyle w:val="Compact"/>
              <w:jc w:val="right"/>
            </w:pPr>
            <w:r>
              <w:t xml:space="preserve">Random minimum-change</w:t>
            </w:r>
          </w:p>
        </w:tc>
      </w:tr>
      <w:tr>
        <w:tc>
          <w:tcPr/>
          <w:p>
            <w:pPr>
              <w:pStyle w:val="Compact"/>
              <w:jc w:val="right"/>
            </w:pPr>
            <w:r>
              <w:t xml:space="preserve">2023 (1-step)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c>
          <w:tcPr/>
          <w:p>
            <w:pPr>
              <w:pStyle w:val="Compact"/>
              <w:jc w:val="right"/>
            </w:pPr>
            <w:r>
              <w:t xml:space="preserve">0.0000</w:t>
            </w:r>
          </w:p>
        </w:tc>
        <w:tc>
          <w:tcPr/>
          <w:p>
            <w:pPr>
              <w:pStyle w:val="Compact"/>
              <w:jc w:val="right"/>
            </w:pPr>
            <w:r>
              <w:t xml:space="preserve">0.0253</w:t>
            </w:r>
          </w:p>
        </w:tc>
      </w:tr>
      <w:tr>
        <w:tc>
          <w:tcPr/>
          <w:p>
            <w:pPr>
              <w:pStyle w:val="Compact"/>
              <w:jc w:val="right"/>
            </w:pPr>
            <w:r>
              <w:t xml:space="preserve">2024 (2-step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c>
          <w:tcPr/>
          <w:p>
            <w:pPr>
              <w:pStyle w:val="Compact"/>
              <w:jc w:val="right"/>
            </w:pPr>
            <w:r>
              <w:t xml:space="preserve">0.0000</w:t>
            </w:r>
          </w:p>
        </w:tc>
        <w:tc>
          <w:tcPr/>
          <w:p>
            <w:pPr>
              <w:pStyle w:val="Compact"/>
              <w:jc w:val="right"/>
            </w:pPr>
            <w:r>
              <w:t xml:space="preserve">0.0605</w:t>
            </w:r>
          </w:p>
        </w:tc>
      </w:tr>
    </w:tbl>
    <w:p>
      <w:pPr>
        <w:pStyle w:val="BodyText"/>
      </w:pPr>
      <w:r>
        <w:t xml:space="preserve">Spatial-block bootstrap model contrasts support these differences. For 2023,</w:t>
      </w:r>
      <w:r>
        <w:t xml:space="preserve"> </w:t>
      </w:r>
      <w:r>
        <w:t xml:space="preserve">Kernel minus FLUS was 0.0703 [0.0558, 0.0866] and GeoFM-LDN minus Kernel was</w:t>
      </w:r>
      <w:r>
        <w:t xml:space="preserve"> </w:t>
      </w:r>
      <w:r>
        <w:t xml:space="preserve">−0.0341 [−0.0479, −0.0209]. For 2024, GeoFM-LDN minus Kernel was 0.0177</w:t>
      </w:r>
      <w:r>
        <w:t xml:space="preserve"> </w:t>
      </w:r>
      <w:r>
        <w:t xml:space="preserve">[0.0033,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w:t>
      </w:r>
    </w:p>
    <w:p>
      <w:pPr>
        <w:pStyle w:val="BodyText"/>
      </w:pPr>
      <w:r>
        <w:t xml:space="preserve">The planning compiler evaluated all nine model–scenario candidates under the</w:t>
      </w:r>
      <w:r>
        <w:t xml:space="preserve"> </w:t>
      </w:r>
      <w:r>
        <w:t xml:space="preserve">declared four-objective set. The only 2031 Pareto candidate was</w:t>
      </w:r>
      <w:r>
        <w:t xml:space="preserve"> </w:t>
      </w:r>
      <w:r>
        <w:t xml:space="preserve">Geospatial Kernel under the green-priority-growth action. This membership is</w:t>
      </w:r>
      <w:r>
        <w:t xml:space="preserve"> </w:t>
      </w:r>
      <w:r>
        <w:t xml:space="preserve">conditional on public ecological and road proxies, synthetic demand actions</w:t>
      </w:r>
      <w:r>
        <w:t xml:space="preserve"> </w:t>
      </w:r>
      <w:r>
        <w:t xml:space="preserve">and the stated objective directions; it is not an official development</w:t>
      </w:r>
      <w:r>
        <w:t xml:space="preserve"> </w:t>
      </w:r>
      <w:r>
        <w:t xml:space="preserve">recommendation or a forecast of policy outcomes. All 276 historical and</w:t>
      </w:r>
      <w:r>
        <w:t xml:space="preserve"> </w:t>
      </w:r>
      <w:r>
        <w:t xml:space="preserve">planning prediction records passed the raster audit, including grid alignment,</w:t>
      </w:r>
      <w:r>
        <w:t xml:space="preserve"> </w:t>
      </w:r>
      <w:r>
        <w:t xml:space="preserve">class validity, outside-mask cleanliness and hard-exclusion checks.</w:t>
      </w:r>
    </w:p>
    <w:bookmarkEnd w:id="22"/>
    <w:bookmarkStart w:id="23"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w:t>
      </w:r>
    </w:p>
    <w:bookmarkEnd w:id="23"/>
    <w:bookmarkStart w:id="24"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The ablation report is evaluated with the same strict evaluator and is used to</w:t>
      </w:r>
      <w:r>
        <w:t xml:space="preserve"> </w:t>
      </w:r>
      <w:r>
        <w:t xml:space="preserve">describe which components alter allocation morphology and hard-mask behaviour;</w:t>
      </w:r>
      <w:r>
        <w:t xml:space="preserve"> </w:t>
      </w:r>
      <w:r>
        <w:t xml:space="preserve">the controls are not treated as independent replications of a planning</w:t>
      </w:r>
      <w:r>
        <w:t xml:space="preserve"> </w:t>
      </w:r>
      <w:r>
        <w:t xml:space="preserve">intervention.</w:t>
      </w:r>
    </w:p>
    <w:bookmarkEnd w:id="24"/>
    <w:bookmarkEnd w:id="25"/>
    <w:bookmarkStart w:id="26" w:name="discussion"/>
    <w:p>
      <w:pPr>
        <w:pStyle w:val="Heading2"/>
      </w:pPr>
      <w:r>
        <w:t xml:space="preserve">Discussion</w:t>
      </w:r>
    </w:p>
    <w:p>
      <w:pPr>
        <w:pStyle w:val="FirstParagraph"/>
      </w:pPr>
      <w:r>
        <w:t xml:space="preserve">This study positions Geospatial Kernel as a candidate execution layer for constrained spatial reasoning. The defensible contribution is that a transition proposal and a planning admission rule can be represented and inspected separately. The recovered public-data rerun shows a horizon-dependent result: the Kernel has the highest strict transition FoM at the one-step horizon, while GeoFM-LDN has the highest value after recursive two-step rollout. We therefore avoid a universal superiority claim and treat the planning frontier as conditional on declared public-data proxy objectives.</w:t>
      </w:r>
    </w:p>
    <w:p>
      <w:pPr>
        <w:pStyle w:val="BodyText"/>
      </w:pPr>
      <w:r>
        <w:t xml:space="preserve">The proposed mechanism is explicit: the score compares the learned probability of a target class with that of the current class and adds local support from the target-class neighbourhood. The projection then resolves deficits and excesses while refusing mutable changes inside the hard mask. This can preserve existing built cells when demand is non-decreasing, but that outcome is a structural consequence of the projection and should not be interpreted as evidence of redevelopment realism. Allocator-matched controls are required before attributing morphology to the learned proposal.</w:t>
      </w:r>
    </w:p>
    <w:p>
      <w:pPr>
        <w:pStyle w:val="BodyText"/>
      </w:pPr>
      <w:r>
        <w:t xml:space="preserve">Several limitations define the boundary of the present evidence. The six classes are remote-sensing land cover, not statutory residential, commercial or industrial land use. Dynamic World labels show substantial annual uncertainty and apparent turnover, and the public road, wetland and protected-area layers are proxies rather than Abu Dhabi planning records. Future drivers are frozen at 2024, no observed 2025–2031 labels exist for validation and the scenario targets are synthetic planner-supplied actions. The three-seed summaries quantify stochastic variation but are not population-level uncertainty intervals. The completed controls are public-data stress tests with matched seeds rather than randomized interventions on real planning decisions, and several variants alter more than one implementation detail at a time. We therefore report them as evidence consistent with the execution contract rather than as causal attribution.</w:t>
      </w:r>
    </w:p>
    <w:p>
      <w:pPr>
        <w:pStyle w:val="BodyText"/>
      </w:pPr>
      <w:r>
        <w:t xml:space="preserve">These limitations also indicate a practical path to deployment. An authoritative version would replace the Dynamic World class raster with a locally validated land-use/land-cover crosswalk, replace public proxy masks with statutory water, ecological, airport, port and growth-boundary layers, and supply approved development demand and infrastructure capacities. The Kernel contract can remain unchanged while those domain inputs are upgraded. This separation is useful for governance: a new data source changes the evidence attached to a transition, rather than silently changing the meaning of the execution trace.</w:t>
      </w:r>
    </w:p>
    <w:bookmarkEnd w:id="26"/>
    <w:bookmarkStart w:id="27"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versioned raster audit; the revised audit does not treat the earlier 240-raster 2025–2030 record as evidence for the separate 2025–2031 delivery;</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Large raster files are kept outside Git and tracked through repository-relative paths and SHA-256 manifests rather than embedded in this manuscript. For this analysis, the synchronized bundle was recovered from the local GIS data workspace (</w:t>
      </w:r>
      <w:r>
        <w:rPr>
          <w:rStyle w:val="VerbatimChar"/>
        </w:rPr>
        <w:t xml:space="preserve">gisdataagent/benchmarks/abu_dhabi_land_use_v1/artifacts</w:t>
      </w:r>
      <w:r>
        <w:t xml:space="preserve">); the exact local path is machine-specific and is not treated as a public URL. A clean external checkout therefore still needs the bundle, the GeoFM-LDN checkpoints and the FLUS executable to reproduce the numerical reports. No private database address, credential or client-only service is required for the intended public-data benchmark, but authoritative Abu Dhabi land-use validation data remain outside this study.</w:t>
      </w:r>
    </w:p>
    <w:bookmarkEnd w:id="27"/>
    <w:bookmarkStart w:id="28" w:name="code-availability"/>
    <w:p>
      <w:pPr>
        <w:pStyle w:val="Heading2"/>
      </w:pPr>
      <w:r>
        <w:t xml:space="preserve">Code availability</w:t>
      </w:r>
    </w:p>
    <w:p>
      <w:pPr>
        <w:pStyle w:val="FirstParagraph"/>
      </w:pPr>
      <w:r>
        <w:t xml:space="preserve">The analysis scripts, a vendored Geospatial Kernel runtime snapshot, benchmark protocol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FirstParagraph"/>
      </w:pPr>
      <w:r>
        <w:t xml:space="preserve">GeoFM-LDN code and checkpoints are not included in this repository and remain a reproducibility blocker. A public release URL, archival DOI and corresponding-author e-mail should be added at submission.</w:t>
      </w:r>
    </w:p>
    <w:bookmarkEnd w:id="28"/>
    <w:bookmarkStart w:id="29"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29"/>
    <w:bookmarkStart w:id="43"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w:t>
      </w:r>
      <w:r>
        <w:t xml:space="preserve"> </w:t>
      </w:r>
      <w:hyperlink r:id="rId30">
        <w:r>
          <w:rPr>
            <w:rStyle w:val="Hyperlink"/>
          </w:rPr>
          <w:t xml:space="preserve">https://doi.org/10.1038/s41597-022-01307-4</w:t>
        </w:r>
      </w:hyperlink>
    </w:p>
    <w:p>
      <w:pPr>
        <w:pStyle w:val="BodyText"/>
      </w:pPr>
      <w:r>
        <w:t xml:space="preserve">Burton, E. (2000). The compact city: just or just compact? A preliminary analysis.</w:t>
      </w:r>
      <w:r>
        <w:t xml:space="preserve"> </w:t>
      </w:r>
      <w:r>
        <w:rPr>
          <w:i/>
          <w:iCs/>
        </w:rPr>
        <w:t xml:space="preserve">Urban Studies</w:t>
      </w:r>
      <w:r>
        <w:t xml:space="preserve">, 37, 1969–2006.</w:t>
      </w:r>
      <w:r>
        <w:t xml:space="preserve"> </w:t>
      </w:r>
      <w:hyperlink r:id="rId31">
        <w:r>
          <w:rPr>
            <w:rStyle w:val="Hyperlink"/>
          </w:rPr>
          <w:t xml:space="preserve">https://doi.org/10.1080/00420980050162184</w:t>
        </w:r>
      </w:hyperlink>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w:t>
      </w:r>
      <w:r>
        <w:t xml:space="preserve"> </w:t>
      </w:r>
      <w:hyperlink r:id="rId32">
        <w:r>
          <w:rPr>
            <w:rStyle w:val="Hyperlink"/>
          </w:rPr>
          <w:t xml:space="preserve">https://doi.org/10.1016/j.rse.2017.06.031</w:t>
        </w:r>
      </w:hyperlink>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w:t>
      </w:r>
      <w:r>
        <w:t xml:space="preserve"> </w:t>
      </w:r>
      <w:hyperlink r:id="rId33">
        <w:r>
          <w:rPr>
            <w:rStyle w:val="Hyperlink"/>
          </w:rPr>
          <w:t xml:space="preserve">https://doi.org/10.1068/b31110</w:t>
        </w:r>
      </w:hyperlink>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w:t>
      </w:r>
      <w:r>
        <w:t xml:space="preserve"> </w:t>
      </w:r>
      <w:hyperlink r:id="rId34">
        <w:r>
          <w:rPr>
            <w:rStyle w:val="Hyperlink"/>
          </w:rPr>
          <w:t xml:space="preserve">https://doi.org/10.1016/j.landurbplan.2021.104157</w:t>
        </w:r>
      </w:hyperlink>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w:t>
      </w:r>
      <w:r>
        <w:t xml:space="preserve"> </w:t>
      </w:r>
      <w:hyperlink r:id="rId35">
        <w:r>
          <w:rPr>
            <w:rStyle w:val="Hyperlink"/>
          </w:rPr>
          <w:t xml:space="preserve">https://doi.org/10.1016/j.landurbplan.2017.09.019</w:t>
        </w:r>
      </w:hyperlink>
    </w:p>
    <w:p>
      <w:pPr>
        <w:pStyle w:val="BodyText"/>
      </w:pPr>
      <w:r>
        <w:t xml:space="preserve">OpenStreetMap contributors. (2026). OpenStreetMap data, Abu Dhabi relation R4479763 and Geofabrik GCC extract, accessed 31 July 2026.</w:t>
      </w:r>
      <w:r>
        <w:t xml:space="preserve"> </w:t>
      </w:r>
      <w:hyperlink r:id="rId36">
        <w:r>
          <w:rPr>
            <w:rStyle w:val="Hyperlink"/>
          </w:rPr>
          <w:t xml:space="preserve">https://www.openstreetmap.org</w:t>
        </w:r>
      </w:hyperlink>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w:t>
      </w:r>
      <w:r>
        <w:t xml:space="preserve"> </w:t>
      </w:r>
      <w:hyperlink r:id="rId37">
        <w:r>
          <w:rPr>
            <w:rStyle w:val="Hyperlink"/>
          </w:rPr>
          <w:t xml:space="preserve">https://doi.org/10.1016/S0198-9715(01)00017-8</w:t>
        </w:r>
      </w:hyperlink>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w:t>
      </w:r>
      <w:r>
        <w:t xml:space="preserve"> </w:t>
      </w:r>
      <w:hyperlink r:id="rId38">
        <w:r>
          <w:rPr>
            <w:rStyle w:val="Hyperlink"/>
          </w:rPr>
          <w:t xml:space="preserve">https://doi.org/10.1016/S0304-3800(02)00059-5</w:t>
        </w:r>
      </w:hyperlink>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w:t>
      </w:r>
      <w:r>
        <w:t xml:space="preserve"> </w:t>
      </w:r>
      <w:hyperlink r:id="rId39">
        <w:r>
          <w:rPr>
            <w:rStyle w:val="Hyperlink"/>
          </w:rPr>
          <w:t xml:space="preserve">https://doi.org/10.1080/1747423X.2011.562018</w:t>
        </w:r>
      </w:hyperlink>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w:t>
      </w:r>
      <w:r>
        <w:t xml:space="preserve"> </w:t>
      </w:r>
      <w:hyperlink r:id="rId40">
        <w:r>
          <w:rPr>
            <w:rStyle w:val="Hyperlink"/>
          </w:rPr>
          <w:t xml:space="preserve">https://doi.org/10.1016/j.envsoft.2016.04.017</w:t>
        </w:r>
      </w:hyperlink>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w:t>
      </w:r>
      <w:r>
        <w:t xml:space="preserve"> </w:t>
      </w:r>
      <w:hyperlink r:id="rId41">
        <w:r>
          <w:rPr>
            <w:rStyle w:val="Hyperlink"/>
          </w:rPr>
          <w:t xml:space="preserve">https://doi.org/10.1007/s00267-002-2631-x</w:t>
        </w:r>
      </w:hyperlink>
    </w:p>
    <w:p>
      <w:pPr>
        <w:pStyle w:val="BodyText"/>
      </w:pPr>
      <w:r>
        <w:t xml:space="preserve">Zanaga, D., et al. (2022). ESA WorldCover 10 m 2021 v200. Zenodo.</w:t>
      </w:r>
      <w:r>
        <w:t xml:space="preserve"> </w:t>
      </w:r>
      <w:hyperlink r:id="rId42">
        <w:r>
          <w:rPr>
            <w:rStyle w:val="Hyperlink"/>
          </w:rPr>
          <w:t xml:space="preserve">https://doi.org/10.5281/zenodo.7254221</w:t>
        </w:r>
      </w:hyperlink>
    </w:p>
    <w:bookmarkEnd w:id="43"/>
    <w:bookmarkStart w:id="59" w:name="figure-legends"/>
    <w:p>
      <w:pPr>
        <w:pStyle w:val="Heading2"/>
      </w:pPr>
      <w:r>
        <w:t xml:space="preserve">Figure legends</w:t>
      </w:r>
    </w:p>
    <w:p>
      <w:pPr>
        <w:pStyle w:val="FirstParagraph"/>
      </w:pPr>
      <w:r>
        <w:drawing>
          <wp:inline>
            <wp:extent cx="5334000" cy="3383237"/>
            <wp:effectExtent b="0" l="0" r="0" t="0"/>
            <wp:docPr descr="Figure 1: benchmark and execution contract" title="" id="45" name="Picture"/>
            <a:graphic>
              <a:graphicData uri="http://schemas.openxmlformats.org/drawingml/2006/picture">
                <pic:pic>
                  <pic:nvPicPr>
                    <pic:cNvPr descr="figures/fig01_benchmark_contract.png" id="46" name="Picture"/>
                    <pic:cNvPicPr>
                      <a:picLocks noChangeArrowheads="1" noChangeAspect="1"/>
                    </pic:cNvPicPr>
                  </pic:nvPicPr>
                  <pic:blipFill>
                    <a:blip r:embed="rId44"/>
                    <a:stretch>
                      <a:fillRect/>
                    </a:stretch>
                  </pic:blipFill>
                  <pic:spPr bwMode="auto">
                    <a:xfrm>
                      <a:off x="0" y="0"/>
                      <a:ext cx="5334000" cy="3383237"/>
                    </a:xfrm>
                    <a:prstGeom prst="rect">
                      <a:avLst/>
                    </a:prstGeom>
                    <a:noFill/>
                    <a:ln w="9525">
                      <a:noFill/>
                      <a:headEnd/>
                      <a:tailEnd/>
                    </a:ln>
                  </pic:spPr>
                </pic:pic>
              </a:graphicData>
            </a:graphic>
          </wp:inline>
        </w:drawing>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BodyText"/>
      </w:pPr>
      <w:r>
        <w:drawing>
          <wp:inline>
            <wp:extent cx="5334000" cy="3536990"/>
            <wp:effectExtent b="0" l="0" r="0" t="0"/>
            <wp:docPr descr="Figure 2: historical allocation skill" title="" id="48" name="Picture"/>
            <a:graphic>
              <a:graphicData uri="http://schemas.openxmlformats.org/drawingml/2006/picture">
                <pic:pic>
                  <pic:nvPicPr>
                    <pic:cNvPr descr="figures/fig02_historical_validation.png" id="49" name="Picture"/>
                    <pic:cNvPicPr>
                      <a:picLocks noChangeArrowheads="1" noChangeAspect="1"/>
                    </pic:cNvPicPr>
                  </pic:nvPicPr>
                  <pic:blipFill>
                    <a:blip r:embed="rId47"/>
                    <a:stretch>
                      <a:fillRect/>
                    </a:stretch>
                  </pic:blipFill>
                  <pic:spPr bwMode="auto">
                    <a:xfrm>
                      <a:off x="0" y="0"/>
                      <a:ext cx="5334000" cy="3536990"/>
                    </a:xfrm>
                    <a:prstGeom prst="rect">
                      <a:avLst/>
                    </a:prstGeom>
                    <a:noFill/>
                    <a:ln w="9525">
                      <a:noFill/>
                      <a:headEnd/>
                      <a:tailEnd/>
                    </a:ln>
                  </pic:spPr>
                </pic:pic>
              </a:graphicData>
            </a:graphic>
          </wp:inline>
        </w:drawing>
      </w:r>
    </w:p>
    <w:p>
      <w:pPr>
        <w:pStyle w:val="BodyText"/>
      </w:pPr>
      <w:r>
        <w:rPr>
          <w:b/>
          <w:bCs/>
        </w:rPr>
        <w:t xml:space="preserve">Figure 2 | Historical allocation skill.</w:t>
      </w:r>
      <w:r>
        <w:t xml:space="preserve"> </w:t>
      </w:r>
      <w:r>
        <w:t xml:space="preserve">Bars show the revised strict</w:t>
      </w:r>
      <w:r>
        <w:t xml:space="preserve"> </w:t>
      </w:r>
      <w:r>
        <w:t xml:space="preserve">multi-class FoM, change F1, overall accuracy and macro-F1 for the 2023 one-step</w:t>
      </w:r>
      <w:r>
        <w:t xml:space="preserve"> </w:t>
      </w:r>
      <w:r>
        <w:t xml:space="preserve">and 2024 two-step open-loop tests, with persistence and random minimum-change</w:t>
      </w:r>
      <w:r>
        <w:t xml:space="preserve"> </w:t>
      </w:r>
      <w:r>
        <w:t xml:space="preserve">controls. Error bars show population standard deviation across the three frozen</w:t>
      </w:r>
      <w:r>
        <w:t xml:space="preserve"> </w:t>
      </w:r>
      <w:r>
        <w:t xml:space="preserve">seeds; paired spatial-block intervals are reported in the machine-readable</w:t>
      </w:r>
      <w:r>
        <w:t xml:space="preserve"> </w:t>
      </w:r>
      <w:r>
        <w:t xml:space="preserve">comparison report.</w:t>
      </w:r>
    </w:p>
    <w:p>
      <w:pPr>
        <w:pStyle w:val="BodyText"/>
      </w:pPr>
      <w:r>
        <w:rPr>
          <w:b/>
          <w:bCs/>
        </w:rPr>
        <w:t xml:space="preserve">Figure 3 | Conditional planning objectives.</w:t>
      </w:r>
      <w:r>
        <w:t xml:space="preserve"> </w:t>
      </w:r>
      <w:r>
        <w:t xml:space="preserve">The 2031 outcomes compare the</w:t>
      </w:r>
      <w:r>
        <w:t xml:space="preserve"> </w:t>
      </w:r>
      <w:r>
        <w:t xml:space="preserve">three models under moderate-growth, green-priority-growth and high-outward-growth</w:t>
      </w:r>
      <w:r>
        <w:t xml:space="preserve"> </w:t>
      </w:r>
      <w:r>
        <w:t xml:space="preserve">actions. Ecological conversion, major-road distance, leapfrog morphology and</w:t>
      </w:r>
      <w:r>
        <w:t xml:space="preserve"> </w:t>
      </w:r>
      <w:r>
        <w:t xml:space="preserve">built retirement define the conditional Pareto set; other quantities are shown</w:t>
      </w:r>
      <w:r>
        <w:t xml:space="preserve"> </w:t>
      </w:r>
      <w:r>
        <w:t xml:space="preserve">as descriptive diagnostics.</w:t>
      </w:r>
    </w:p>
    <w:p>
      <w:pPr>
        <w:pStyle w:val="BodyText"/>
      </w:pPr>
      <w:r>
        <w:drawing>
          <wp:inline>
            <wp:extent cx="5334000" cy="3507253"/>
            <wp:effectExtent b="0" l="0" r="0" t="0"/>
            <wp:docPr descr="Figure 3: conditional planning objectives" title="" id="51" name="Picture"/>
            <a:graphic>
              <a:graphicData uri="http://schemas.openxmlformats.org/drawingml/2006/picture">
                <pic:pic>
                  <pic:nvPicPr>
                    <pic:cNvPr descr="figures/fig03_planning_objectives.png" id="52" name="Picture"/>
                    <pic:cNvPicPr>
                      <a:picLocks noChangeArrowheads="1" noChangeAspect="1"/>
                    </pic:cNvPicPr>
                  </pic:nvPicPr>
                  <pic:blipFill>
                    <a:blip r:embed="rId50"/>
                    <a:stretch>
                      <a:fillRect/>
                    </a:stretch>
                  </pic:blipFill>
                  <pic:spPr bwMode="auto">
                    <a:xfrm>
                      <a:off x="0" y="0"/>
                      <a:ext cx="5334000" cy="3507253"/>
                    </a:xfrm>
                    <a:prstGeom prst="rect">
                      <a:avLst/>
                    </a:prstGeom>
                    <a:noFill/>
                    <a:ln w="9525">
                      <a:noFill/>
                      <a:headEnd/>
                      <a:tailEnd/>
                    </a:ln>
                  </pic:spPr>
                </pic:pic>
              </a:graphicData>
            </a:graphic>
          </wp:inline>
        </w:drawing>
      </w:r>
    </w:p>
    <w:p>
      <w:pPr>
        <w:pStyle w:val="BodyText"/>
      </w:pPr>
      <w:r>
        <w:rPr>
          <w:b/>
          <w:bCs/>
        </w:rPr>
        <w:t xml:space="preserve">Figure 4 | Mechanism controls.</w:t>
      </w:r>
      <w:r>
        <w:t xml:space="preserve"> </w:t>
      </w:r>
      <w:r>
        <w:t xml:space="preserve">Proposal, allocator and writeback controls</w:t>
      </w:r>
      <w:r>
        <w:t xml:space="preserve"> </w:t>
      </w:r>
      <w:r>
        <w:t xml:space="preserve">are compared under the same public-data protocol. These are diagnostic</w:t>
      </w:r>
      <w:r>
        <w:t xml:space="preserve"> </w:t>
      </w:r>
      <w:r>
        <w:t xml:space="preserve">ablations, not causal policy experiments.</w:t>
      </w:r>
    </w:p>
    <w:p>
      <w:pPr>
        <w:pStyle w:val="BodyText"/>
      </w:pPr>
      <w:r>
        <w:drawing>
          <wp:inline>
            <wp:extent cx="5334000" cy="3703670"/>
            <wp:effectExtent b="0" l="0" r="0" t="0"/>
            <wp:docPr descr="Figure 4: mechanism controls" title="" id="54" name="Picture"/>
            <a:graphic>
              <a:graphicData uri="http://schemas.openxmlformats.org/drawingml/2006/picture">
                <pic:pic>
                  <pic:nvPicPr>
                    <pic:cNvPr descr="figures/fig04_mechanism_ablation.png" id="55" name="Picture"/>
                    <pic:cNvPicPr>
                      <a:picLocks noChangeArrowheads="1" noChangeAspect="1"/>
                    </pic:cNvPicPr>
                  </pic:nvPicPr>
                  <pic:blipFill>
                    <a:blip r:embed="rId53"/>
                    <a:stretch>
                      <a:fillRect/>
                    </a:stretch>
                  </pic:blipFill>
                  <pic:spPr bwMode="auto">
                    <a:xfrm>
                      <a:off x="0" y="0"/>
                      <a:ext cx="5334000" cy="3703670"/>
                    </a:xfrm>
                    <a:prstGeom prst="rect">
                      <a:avLst/>
                    </a:prstGeom>
                    <a:noFill/>
                    <a:ln w="9525">
                      <a:noFill/>
                      <a:headEnd/>
                      <a:tailEnd/>
                    </a:ln>
                  </pic:spPr>
                </pic:pic>
              </a:graphicData>
            </a:graphic>
          </wp:inline>
        </w:drawing>
      </w:r>
    </w:p>
    <w:p>
      <w:pPr>
        <w:pStyle w:val="BodyText"/>
      </w:pPr>
      <w:r>
        <w:drawing>
          <wp:inline>
            <wp:extent cx="5334000" cy="5253521"/>
            <wp:effectExtent b="0" l="0" r="0" t="0"/>
            <wp:docPr descr="Figure 5: 2031 spatial footprints" title="" id="57" name="Picture"/>
            <a:graphic>
              <a:graphicData uri="http://schemas.openxmlformats.org/drawingml/2006/picture">
                <pic:pic>
                  <pic:nvPicPr>
                    <pic:cNvPr descr="figures/fig05_planning_maps_2031.png" id="58" name="Picture"/>
                    <pic:cNvPicPr>
                      <a:picLocks noChangeArrowheads="1" noChangeAspect="1"/>
                    </pic:cNvPicPr>
                  </pic:nvPicPr>
                  <pic:blipFill>
                    <a:blip r:embed="rId56"/>
                    <a:stretch>
                      <a:fillRect/>
                    </a:stretch>
                  </pic:blipFill>
                  <pic:spPr bwMode="auto">
                    <a:xfrm>
                      <a:off x="0" y="0"/>
                      <a:ext cx="5334000" cy="5253521"/>
                    </a:xfrm>
                    <a:prstGeom prst="rect">
                      <a:avLst/>
                    </a:prstGeom>
                    <a:noFill/>
                    <a:ln w="9525">
                      <a:noFill/>
                      <a:headEnd/>
                      <a:tailEnd/>
                    </a:ln>
                  </pic:spPr>
                </pic:pic>
              </a:graphicData>
            </a:graphic>
          </wp:inline>
        </w:drawing>
      </w:r>
    </w:p>
    <w:p>
      <w:pPr>
        <w:pStyle w:val="BodyText"/>
      </w:pPr>
      <w:r>
        <w:rPr>
          <w:b/>
          <w:bCs/>
        </w:rPr>
        <w:t xml:space="preserve">Figure 5 | 2031 spatial footprints.</w:t>
      </w:r>
      <w:r>
        <w:t xml:space="preserve"> </w:t>
      </w:r>
      <w:r>
        <w:t xml:space="preserve">Each panel is a 100-m ensemble raster</w:t>
      </w:r>
      <w:r>
        <w:t xml:space="preserve"> </w:t>
      </w:r>
      <w:r>
        <w:t xml:space="preserve">relative to the observed 2024 state. Overlays identify newly built, newly low-</w:t>
      </w:r>
      <w:r>
        <w:t xml:space="preserve"> </w:t>
      </w:r>
      <w:r>
        <w:t xml:space="preserve">vegetated and retired-built cells; they are raster-cell change footprints, not</w:t>
      </w:r>
      <w:r>
        <w:t xml:space="preserve"> </w:t>
      </w:r>
      <w:r>
        <w:t xml:space="preserve">cadastral parcels.</w:t>
      </w:r>
    </w:p>
    <w:bookmarkEnd w:id="59"/>
    <w:bookmarkStart w:id="60"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w:t>
      </w:r>
    </w:p>
    <w:p>
      <w:pPr>
        <w:pStyle w:val="Compact"/>
        <w:numPr>
          <w:ilvl w:val="0"/>
          <w:numId w:val="1004"/>
        </w:numPr>
      </w:pPr>
      <w:r>
        <w:rPr>
          <w:b/>
          <w:bCs/>
        </w:rPr>
        <w:t xml:space="preserve">Supplementary Table S3:</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hyperlink" Id="rId41" Target="https://doi.org/10.1007/s00267-002-2631-x" TargetMode="External" /><Relationship Type="http://schemas.openxmlformats.org/officeDocument/2006/relationships/hyperlink" Id="rId37" Target="https://doi.org/10.1016/S0198-9715(01)00017-8" TargetMode="External" /><Relationship Type="http://schemas.openxmlformats.org/officeDocument/2006/relationships/hyperlink" Id="rId38" Target="https://doi.org/10.1016/S0304-3800(02)00059-5" TargetMode="External" /><Relationship Type="http://schemas.openxmlformats.org/officeDocument/2006/relationships/hyperlink" Id="rId40" Target="https://doi.org/10.1016/j.envsoft.2016.04.017" TargetMode="External" /><Relationship Type="http://schemas.openxmlformats.org/officeDocument/2006/relationships/hyperlink" Id="rId35" Target="https://doi.org/10.1016/j.landurbplan.2017.09.019" TargetMode="External" /><Relationship Type="http://schemas.openxmlformats.org/officeDocument/2006/relationships/hyperlink" Id="rId34" Target="https://doi.org/10.1016/j.landurbplan.2021.104157" TargetMode="External" /><Relationship Type="http://schemas.openxmlformats.org/officeDocument/2006/relationships/hyperlink" Id="rId32" Target="https://doi.org/10.1016/j.rse.2017.06.031" TargetMode="External" /><Relationship Type="http://schemas.openxmlformats.org/officeDocument/2006/relationships/hyperlink" Id="rId30" Target="https://doi.org/10.1038/s41597-022-01307-4" TargetMode="External" /><Relationship Type="http://schemas.openxmlformats.org/officeDocument/2006/relationships/hyperlink" Id="rId33" Target="https://doi.org/10.1068/b31110" TargetMode="External" /><Relationship Type="http://schemas.openxmlformats.org/officeDocument/2006/relationships/hyperlink" Id="rId31" Target="https://doi.org/10.1080/00420980050162184" TargetMode="External" /><Relationship Type="http://schemas.openxmlformats.org/officeDocument/2006/relationships/hyperlink" Id="rId39" Target="https://doi.org/10.1080/1747423X.2011.562018" TargetMode="External" /><Relationship Type="http://schemas.openxmlformats.org/officeDocument/2006/relationships/hyperlink" Id="rId42" Target="https://doi.org/10.5281/zenodo.7254221" TargetMode="External" /><Relationship Type="http://schemas.openxmlformats.org/officeDocument/2006/relationships/hyperlink" Id="rId36" Target="https://www.openstreetmap.org"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s00267-002-2631-x" TargetMode="External" /><Relationship Type="http://schemas.openxmlformats.org/officeDocument/2006/relationships/hyperlink" Id="rId37" Target="https://doi.org/10.1016/S0198-9715(01)00017-8" TargetMode="External" /><Relationship Type="http://schemas.openxmlformats.org/officeDocument/2006/relationships/hyperlink" Id="rId38" Target="https://doi.org/10.1016/S0304-3800(02)00059-5" TargetMode="External" /><Relationship Type="http://schemas.openxmlformats.org/officeDocument/2006/relationships/hyperlink" Id="rId40" Target="https://doi.org/10.1016/j.envsoft.2016.04.017" TargetMode="External" /><Relationship Type="http://schemas.openxmlformats.org/officeDocument/2006/relationships/hyperlink" Id="rId35" Target="https://doi.org/10.1016/j.landurbplan.2017.09.019" TargetMode="External" /><Relationship Type="http://schemas.openxmlformats.org/officeDocument/2006/relationships/hyperlink" Id="rId34" Target="https://doi.org/10.1016/j.landurbplan.2021.104157" TargetMode="External" /><Relationship Type="http://schemas.openxmlformats.org/officeDocument/2006/relationships/hyperlink" Id="rId32" Target="https://doi.org/10.1016/j.rse.2017.06.031" TargetMode="External" /><Relationship Type="http://schemas.openxmlformats.org/officeDocument/2006/relationships/hyperlink" Id="rId30" Target="https://doi.org/10.1038/s41597-022-01307-4" TargetMode="External" /><Relationship Type="http://schemas.openxmlformats.org/officeDocument/2006/relationships/hyperlink" Id="rId33" Target="https://doi.org/10.1068/b31110" TargetMode="External" /><Relationship Type="http://schemas.openxmlformats.org/officeDocument/2006/relationships/hyperlink" Id="rId31" Target="https://doi.org/10.1080/00420980050162184" TargetMode="External" /><Relationship Type="http://schemas.openxmlformats.org/officeDocument/2006/relationships/hyperlink" Id="rId39" Target="https://doi.org/10.1080/1747423X.2011.562018" TargetMode="External" /><Relationship Type="http://schemas.openxmlformats.org/officeDocument/2006/relationships/hyperlink" Id="rId42" Target="https://doi.org/10.5281/zenodo.7254221" TargetMode="External" /><Relationship Type="http://schemas.openxmlformats.org/officeDocument/2006/relationships/hyperlink" Id="rId36" Target="https://www.openstreetm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2026-09-04T15:31:07Z</dcterms:created>
  <dcterms:modified xsi:type="dcterms:W3CDTF">2026-09-04T15:31:07Z</dcterms:modified>
</cp:coreProperties>
</file>

<file path=docProps/custom.xml><?xml version="1.0" encoding="utf-8"?>
<Properties xmlns="http://schemas.openxmlformats.org/officeDocument/2006/custom-properties" xmlns:vt="http://schemas.openxmlformats.org/officeDocument/2006/docPropsVTypes"/>
</file>