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consider my manuscript entitled</w:t>
      </w:r>
      <w:r>
        <w:t xml:space="preserve"> </w:t>
      </w:r>
      <w:r>
        <w:t xml:space="preserve">“Auditing constrained geospatial allocation under annual land-cover product uncertainty”</w:t>
      </w:r>
      <w:r>
        <w:t xml:space="preserve"> </w:t>
      </w:r>
      <w:r>
        <w:t xml:space="preserve">for publication as a Research Article in</w:t>
      </w:r>
      <w:r>
        <w:t xml:space="preserve"> </w:t>
      </w:r>
      <w:r>
        <w:rPr>
          <w:i/>
          <w:iCs/>
        </w:rPr>
        <w:t xml:space="preserve">Landscape and Urban Planning</w:t>
      </w:r>
      <w:r>
        <w:t xml:space="preserve">.</w:t>
      </w:r>
    </w:p>
    <w:p>
      <w:pPr>
        <w:pStyle w:val="BodyText"/>
      </w:pPr>
      <w:r>
        <w:t xml:space="preserve">The manuscript evaluates Geospatial Kernel, the algorithmic core of a Geospatial World Model, as an auditable execution layer for constrained spatial allocation. Using two public annual land-cover product tracks for Abu Dhabi, it tests whether model rankings are robust to product choice while retaining explicit proposal, constraint-projection and state-writeback traces.</w:t>
      </w:r>
    </w:p>
    <w:p>
      <w:pPr>
        <w:pStyle w:val="BodyText"/>
      </w:pPr>
      <w:r>
        <w:t xml:space="preserve">The study is deliberately framed as a public-data benchmark and conditional planning stress test, rather than as an official forecast of Abu Dhabi statutory land-use change. The refreshed source release, including the ArcGIS-served product track, is archived at https://doi.org/10.5281/zenodo.22763326; hydrated Git LFS artifacts are retrieved from the corresponding</w:t>
      </w:r>
      <w:r>
        <w:t xml:space="preserve"> </w:t>
      </w:r>
      <w:r>
        <w:rPr>
          <w:rStyle w:val="VerbatimChar"/>
        </w:rPr>
        <w:t xml:space="preserve">v2.1.0</w:t>
      </w:r>
      <w:r>
        <w:t xml:space="preserve"> </w:t>
      </w:r>
      <w:r>
        <w:t xml:space="preserve">repository tag.</w:t>
      </w:r>
    </w:p>
    <w:p>
      <w:pPr>
        <w:pStyle w:val="BodyText"/>
      </w:pPr>
      <w:r>
        <w:t xml:space="preserve">I confirm that the manuscript is original, is not under consideration by another journal, and has been approved for submission.</w:t>
      </w:r>
    </w:p>
    <w:p>
      <w:pPr>
        <w:pStyle w:val="BodyText"/>
      </w:pPr>
      <w:r>
        <w:t xml:space="preserve">The corresponding author is:</w:t>
      </w:r>
    </w:p>
    <w:p>
      <w:pPr>
        <w:pStyle w:val="BodyText"/>
      </w:pPr>
      <w:r>
        <w:t xml:space="preserve">Ning Zhou</w:t>
      </w:r>
      <w:r>
        <w:br/>
      </w:r>
      <w:r>
        <w:t xml:space="preserve">Beijing Freedo Technology Co., Ltd.</w:t>
      </w:r>
      <w:r>
        <w:br/>
      </w:r>
      <w:r>
        <w:t xml:space="preserve">Beijing, China</w:t>
      </w:r>
      <w:r>
        <w:br/>
      </w:r>
      <w:r>
        <w:t xml:space="preserve">ORCID: https://orcid.org/0009-0002-5647-7388</w:t>
      </w:r>
      <w:r>
        <w:br/>
      </w:r>
      <w:r>
        <w:t xml:space="preserve">Email: zhouning@freedotech.com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Ning Zhou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2026-09-15T06:16:34Z</dcterms:created>
  <dcterms:modified xsi:type="dcterms:W3CDTF">2026-09-15T06:16:34Z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