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Title"/>
      </w:pPr>
      <w:r>
        <w:t>Auditing constrained geospatial allocation under annual land-cover product uncertainty</w:t>
      </w:r>
    </w:p>
    <w:p>
      <w:pPr>
        <w:pStyle w:val="Subtitle"/>
      </w:pPr>
      <w:r>
        <w:t>Ning Zhou</w:t>
        <w:br/>
        <w:t>Beijing Freedo Technology Co., Ltd.</w:t>
        <w:br/>
        <w:t>Corresponding author: zhouning@freedotech.com</w:t>
      </w:r>
    </w:p>
    <w:p>
      <w:pPr>
        <w:pStyle w:val="Heading2"/>
      </w:pPr>
      <w:r>
        <w:t xml:space="preserve">Abstract</w:t>
      </w:r>
    </w:p>
    <w:p>
      <w:pPr>
        <w:pStyle w:val="FirstParagraph"/>
      </w:pPr>
      <w:r>
        <w:t xml:space="preserve">Public land-cover products are often used where authoritative local time series are unavailable, but product choice and temporal discontinuities can alter apparent urban change and model rankings. We present an auditable protocol for constrained spatial allocation using Geospatial Kernel, the execution layer of a Geospatial World Model. Annual 10-m Google Dynamic World (2017–2024) and ArcGIS-served Impact Observatory/Microsoft/Esri (2017–2025) products for Abu Dhabi city were harmonized to a 100-m, six-class contract. Leakage-controlled expanding-window tests compared a FLUS-style ANN–CA, Geospatial Kernel, GeoFM-LDN, persistence and random minimum-change allocation, using three seeds and 1,000 spatial-block resamples. Target-year labels supplied oracle class totals and evaluation only. In 2024, ArcGIS mapped 335.57 km² built versus 155.98 km² in Dynamic World (built IoU 0.449). Its built stock rose 30.6% from 2021 to 2022 while wetland and woody classes subsequently collapsed, indicating an unreconciled product-series break rather than verified city change. Kernel had the highest mean FoM in all four Dynamic World targets and two matched ArcGIS targets, without universal paired-interval separation. Excluding the discontinuity target, ArcGIS-minus-Dynamic World FoM was negative for Kernel (-0.244 to -0.014) and GeoFM-LDN (-0.215 to -0.010), whereas FLUS ranged from -0.100 to +0.023. Exact minimum-change allocators faced product-specific FoM upper bounds of 0.086–0.813 (0.086–0.665 excluding 2022). Product-specific 2031 frontiers retained FLUS-style and Kernel candidates but changed objective trade-offs. The results support an inspectable proposal–projection–writeback boundary while showing comparative skill is label-product dependent. Neither product is authoritative local land-use truth, and 2026–2031 maps are 100-m conditional stress tests.</w:t>
      </w:r>
    </w:p>
    <w:bookmarkEnd w:id="9"/>
    <w:bookmarkStart w:id="10" w:name="highlights"/>
    <w:p>
      <w:pPr>
        <w:pStyle w:val="Heading2"/>
      </w:pPr>
      <w:r>
        <w:t xml:space="preserve">Highlights</w:t>
      </w:r>
    </w:p>
    <w:p>
      <w:pPr>
        <w:pStyle w:val="Compact"/>
        <w:numPr>
          <w:ilvl w:val="0"/>
          <w:numId w:val="1001"/>
        </w:numPr>
      </w:pPr>
      <w:r>
        <w:t xml:space="preserve">Cross-product backtests expose product dependence and a series discontinuity.</w:t>
      </w:r>
    </w:p>
    <w:p>
      <w:pPr>
        <w:pStyle w:val="Compact"/>
        <w:numPr>
          <w:ilvl w:val="0"/>
          <w:numId w:val="1001"/>
        </w:numPr>
      </w:pPr>
      <w:r>
        <w:t xml:space="preserve">Numerical rankings depend on product and conditional paired uncertainty.</w:t>
      </w:r>
    </w:p>
    <w:p>
      <w:pPr>
        <w:pStyle w:val="Compact"/>
        <w:numPr>
          <w:ilvl w:val="0"/>
          <w:numId w:val="1001"/>
        </w:numPr>
      </w:pPr>
      <w:r>
        <w:t xml:space="preserve">Proposal–projection–writeback traces preserve allocation auditability.</w:t>
      </w:r>
    </w:p>
    <w:p>
      <w:pPr>
        <w:pStyle w:val="Compact"/>
        <w:numPr>
          <w:ilvl w:val="0"/>
          <w:numId w:val="1001"/>
        </w:numPr>
      </w:pPr>
      <w:r>
        <w:t xml:space="preserve">Net-change allocation restricts exact minimum-change scores, not CA scores.</w:t>
      </w:r>
    </w:p>
    <w:p>
      <w:pPr>
        <w:pStyle w:val="Compact"/>
        <w:numPr>
          <w:ilvl w:val="0"/>
          <w:numId w:val="1001"/>
        </w:numPr>
      </w:pPr>
      <w:r>
        <w:t xml:space="preserve">The 2026–2031 maps remain 100-m stress tests, not statutory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annual class-count actions, hard exclusions and evaluator. The historical track uses observed target counts to isolate spatial allocation skill from demand error. A matched protocol is run separately on Dynamic World and on an ArcGIS-served annual product so that dependence on the complete label-product pipeline is visible. The original planning track starts from the 2024 Dynamic World state; the refreshed track starts from the 2025 ArcGIS-served state. Both apply three planner-supplied actions: moderate growth, green-priority growth and high outward growth. Abu Dhabi Plan 2030 provides an institutional planning context for discussing urban structure, but the numerical actions are not calibrated to that plan or to an official population forecast (Abu Dhabi Urban Planning Council, 2007). We ask four questions: whether the Kernel execution contract is auditable, whether its allocation skill is competitive, whether comparative conclusions survive a change of land-cover product and whether the candidates produce feasible, spatially distinct scenario allocations.</w:t>
      </w:r>
    </w:p>
    <w:p>
      <w:pPr>
        <w:pStyle w:val="BodyText"/>
      </w:pPr>
      <w:r>
        <w:t xml:space="preserve">The paper makes three bounded contributions. First, it gives a concrete state–action–constraint formulation for using a geospatial kernel as an algorithmic core rather than as an opaque end-to-end predictor. Second, it defines an evaluation protocol that combines expanding-window temporal tests, zero-model controls, spatial bootstrap contrasts and a whole-product-pipeline replication rather than relying on one favourable split. Third, it turns future maps into explicit stress-test artefacts, including cumulative rasters and vectorized transition footprints, while preserving the distinction between public-data land cover and authoritative legal land use.</w:t>
      </w:r>
    </w:p>
    <w:bookmarkEnd w:id="12"/>
    <w:bookmarkStart w:id="21" w:name="methods"/>
    <w:p>
      <w:pPr>
        <w:pStyle w:val="Heading2"/>
      </w:pPr>
      <w:r>
        <w:t xml:space="preserve">Methods</w:t>
      </w:r>
    </w:p>
    <w:bookmarkStart w:id="13" w:name="portable-audit-protocol"/>
    <w:p>
      <w:pPr>
        <w:pStyle w:val="Heading3"/>
      </w:pPr>
      <w:r>
        <w:t xml:space="preserve">Portable audit protocol</w:t>
      </w:r>
    </w:p>
    <w:p>
      <w:pPr>
        <w:pStyle w:val="FirstParagraph"/>
      </w:pPr>
      <w:r>
        <w:t xml:space="preserve">The benchmark separates a reusable audit protocol from the Abu Dhabi adapter.</w:t>
      </w:r>
      <w:r>
        <w:t xml:space="preserve"> </w:t>
      </w:r>
      <w:r>
        <w:t xml:space="preserve">For any city or geospatial domain, the protocol requires: (i) a declared class</w:t>
      </w:r>
      <w:r>
        <w:t xml:space="preserve"> </w:t>
      </w:r>
      <w:r>
        <w:t xml:space="preserve">crosswalk and spatially stratified label-confidence tiers; (ii) persistence and</w:t>
      </w:r>
      <w:r>
        <w:t xml:space="preserve"> </w:t>
      </w:r>
      <w:r>
        <w:t xml:space="preserve">minimum-change zero models; (iii) destination-correct multi-class change FoM</w:t>
      </w:r>
      <w:r>
        <w:t xml:space="preserve"> </w:t>
      </w:r>
      <w:r>
        <w:t xml:space="preserve">with quantity and allocation diagnostics; (iv) spatial-block bootstrap intervals</w:t>
      </w:r>
      <w:r>
        <w:t xml:space="preserve"> </w:t>
      </w:r>
      <w:r>
        <w:t xml:space="preserve">and paired model contrasts on a frozen evaluation mask; (v) an explicit check for</w:t>
      </w:r>
      <w:r>
        <w:t xml:space="preserve"> </w:t>
      </w:r>
      <w:r>
        <w:t xml:space="preserve">structural-zero metrics before Pareto selection; (vi) a versioned objective table</w:t>
      </w:r>
      <w:r>
        <w:t xml:space="preserve"> </w:t>
      </w:r>
      <w:r>
        <w:t xml:space="preserve">with direction, units and interpretation; and (vii) a state–action–constraint</w:t>
      </w:r>
      <w:r>
        <w:t xml:space="preserve"> </w:t>
      </w:r>
      <w:r>
        <w:t xml:space="preserve">trace recording proposal, projection, hard-mask status and state writeback. The</w:t>
      </w:r>
      <w:r>
        <w:t xml:space="preserve"> </w:t>
      </w:r>
      <w:r>
        <w:t xml:space="preserve">protocol also requires every model/year/seed record to report the number of</w:t>
      </w:r>
      <w:r>
        <w:t xml:space="preserve"> </w:t>
      </w:r>
      <w:r>
        <w:t xml:space="preserve">predicted changed cells. A record with</w:t>
      </w:r>
      <w:r>
        <w:t xml:space="preserve"> </w:t>
      </w:r>
      <w:r>
        <w:rPr>
          <w:rStyle w:val="VerbatimChar"/>
        </w:rPr>
        <w:t xml:space="preserve">predicted_change_pixels == 0</w:t>
      </w:r>
      <w:r>
        <w:t xml:space="preserve"> </w:t>
      </w:r>
      <w:r>
        <w:t xml:space="preserve">is marked</w:t>
      </w:r>
      <w:r>
        <w:t xml:space="preserve"> </w:t>
      </w:r>
      <w:r>
        <w:t xml:space="preserve">as a degenerate output and reviewed alongside structural-zero metrics; it cannot</w:t>
      </w:r>
      <w:r>
        <w:t xml:space="preserve"> </w:t>
      </w:r>
      <w:r>
        <w:t xml:space="preserve">by itself be interpreted as model superiority or real land-cover stability. The</w:t>
      </w:r>
      <w:r>
        <w:t xml:space="preserve"> </w:t>
      </w:r>
      <w:r>
        <w:t xml:space="preserve">protocol reports domain validity separately from execution completeness and</w:t>
      </w:r>
      <w:r>
        <w:t xml:space="preserve"> </w:t>
      </w:r>
      <w:r>
        <w:t xml:space="preserve">requires independent change validation before a categorical map is presented as</w:t>
      </w:r>
      <w:r>
        <w:t xml:space="preserve"> </w:t>
      </w:r>
      <w:r>
        <w:t xml:space="preserve">an observed land-use product. A structural-zero metric is flagged operationally</w:t>
      </w:r>
      <w:r>
        <w:t xml:space="preserve"> </w:t>
      </w:r>
      <w:r>
        <w:t xml:space="preserve">when its denominator is zero for every candidate under the declared action and</w:t>
      </w:r>
      <w:r>
        <w:t xml:space="preserve"> </w:t>
      </w:r>
      <w:r>
        <w:t xml:space="preserve">constraint rules; for exact-count allocation, a conversion rate is also a</w:t>
      </w:r>
      <w:r>
        <w:t xml:space="preserve"> </w:t>
      </w:r>
      <w:r>
        <w:t xml:space="preserve">structural zero when the protected/source rule makes the relevant source class</w:t>
      </w:r>
      <w:r>
        <w:t xml:space="preserve"> </w:t>
      </w:r>
      <w:r>
        <w:t xml:space="preserve">monotonically non-decreasing, so no eligible source cells can contribute to that</w:t>
      </w:r>
      <w:r>
        <w:t xml:space="preserve"> </w:t>
      </w:r>
      <w:r>
        <w:t xml:space="preserve">transition. Such a metric is reported descriptively and excluded from Pareto</w:t>
      </w:r>
      <w:r>
        <w:t xml:space="preserve"> </w:t>
      </w:r>
      <w:r>
        <w:t xml:space="preserve">selection.</w:t>
      </w:r>
    </w:p>
    <w:bookmarkEnd w:id="13"/>
    <w:bookmarkStart w:id="14" w:name="Xdec0000e20bdd14e9f09c125200d58222c269b6"/>
    <w:p>
      <w:pPr>
        <w:pStyle w:val="Heading3"/>
      </w:pPr>
      <w:r>
        <w:t xml:space="preserve">Abu Dhabi implementation: boundary, grid and temporal protocol</w:t>
      </w:r>
    </w:p>
    <w:p>
      <w:pPr>
        <w:pStyle w:val="FirstParagraph"/>
      </w:pPr>
      <w:r>
        <w:t xml:space="preserve">The study boundary is the polygon returned for OpenStreetMap relation R4479763, representing Abu Dhabi city (OpenStreetMap contributors, 2026).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original Dynamic World sequence contains annual states for 2017–2024. Models were fit using the four transitions 2017→2018, 2018→2019, 2019→2020 and 2020→2021. A 2021→2022 transition was used for validation during model development. The original historical test starts from 2022 and evaluates 2023 and 2024 in an open-loop rollout without observed-state writeback. Its planning test starts from the observed 2024 state and recursively generates 2025–2031. The refreshed product track adds a separate annual sequence for 2017–2025, starts planning from its observed 2025 state and generates 2026–2031.</w:t>
      </w:r>
    </w:p>
    <w:p>
      <w:pPr>
        <w:pStyle w:val="BodyText"/>
      </w:pPr>
      <w:r>
        <w:t xml:space="preserve">The leakage-controlled analysis used expanding one-step windows with origins in 2020–2023 for both products and an additional 2024 origin for the ArcGIS-served series. For origin year</w:t>
      </w:r>
      <w:r>
        <w:t xml:space="preserve"> </w:t>
      </w:r>
      <m:oMath>
        <m:r>
          <m:t>t</m:t>
        </m:r>
      </m:oMath>
      <w:r>
        <w:t xml:space="preserve">, training included only observations available at or before</w:t>
      </w:r>
      <w:r>
        <w:t xml:space="preserve"> </w:t>
      </w:r>
      <m:oMath>
        <m:r>
          <m:t>t</m:t>
        </m:r>
      </m:oMath>
      <w:r>
        <w:t xml:space="preserve">; the held-out</w:t>
      </w:r>
      <w:r>
        <w:t xml:space="preserve"> </w:t>
      </w:r>
      <m:oMath>
        <m:r>
          <m:t>t</m:t>
        </m:r>
        <m:r>
          <m:rPr>
            <m:sty m:val="p"/>
          </m:rPr>
          <m:t>+</m:t>
        </m:r>
        <m:r>
          <m:t>1</m:t>
        </m:r>
      </m:oMath>
      <w:r>
        <w:t xml:space="preserve"> </w:t>
      </w:r>
      <w:r>
        <w:t xml:space="preserve">label was prohibited from feature construction, model fitting and GeoFM-LDN epoch selection. The target supplied only observed class totals for oracle allocation, evaluation labels and the common-coverage mask. This design isolates spatial allocation conditional on known demand and is not an end-to-end demand forecast. Each fold locked origin-year water and wetland cells and omitted the two road-distance features, because the available OpenStreetMap snapshot was accessed in 2026. Kernel consequently used 23 features and the FLUS-style track used the remaining five continuous drivers. A machine-tested temporal firewall records permitted target-year uses for every model, seed and fold. The two product tracks match the boundary, 100-m grid, model implementations, seeds, target-year protocol, oracle-action rule, evaluator and 1,000-resample 8 × 8-cell spatial bootstrap. Annual labels, origin states, oracle totals, origin water/wetland masks and quality semantics remain product specific; the experiment therefore tests the complete public-product pipelines rather than an isolated label substitution. The original 2023–2024 headline comparison is less strict because it uses the later road snapshot and remains a secondary unmatched-pipeline result.</w:t>
      </w:r>
    </w:p>
    <w:p>
      <w:pPr>
        <w:pStyle w:val="BodyText"/>
      </w:pPr>
      <w:r>
        <w:t xml:space="preserve">The random minimum-change controls are deterministic within each analysis but</w:t>
      </w:r>
      <w:r>
        <w:t xml:space="preserve"> </w:t>
      </w:r>
      <w:r>
        <w:t xml:space="preserve">not a shared cross-table estimator: the rolling-origin diagnostic derives its</w:t>
      </w:r>
      <w:r>
        <w:t xml:space="preserve"> </w:t>
      </w:r>
      <w:r>
        <w:t xml:space="preserve">stream from the declared seed plus origin year × 1,000, whereas the matched</w:t>
      </w:r>
      <w:r>
        <w:t xml:space="preserve"> </w:t>
      </w:r>
      <w:r>
        <w:t xml:space="preserve">product analysis uses the declared seed plus target year × 1,000. Their values</w:t>
      </w:r>
      <w:r>
        <w:t xml:space="preserve"> </w:t>
      </w:r>
      <w:r>
        <w:t xml:space="preserve">therefore serve as local zero controls in Supplementary Tables S5 and S6,</w:t>
      </w:r>
      <w:r>
        <w:t xml:space="preserve"> </w:t>
      </w:r>
      <w:r>
        <w:t xml:space="preserve">respectively, and are not compared numerically across those tables.</w:t>
      </w:r>
    </w:p>
    <w:bookmarkEnd w:id="14"/>
    <w:bookmarkStart w:id="15" w:name="public-data-and-class-semantics"/>
    <w:p>
      <w:pPr>
        <w:pStyle w:val="Heading3"/>
      </w:pPr>
      <w:r>
        <w:t xml:space="preserve">Public data and class semantics</w:t>
      </w:r>
    </w:p>
    <w:p>
      <w:pPr>
        <w:pStyle w:val="FirstParagraph"/>
      </w:pPr>
      <w:r>
        <w:t xml:space="preserve">Dynamic World V1 supplies scene-level class probabilities and maximum-probability labels (Brown et al., 2022). We constructed annual labels by taking the temporal mode of the available scene labels before class crosswalking and export to the modelling grid. Annual composition is a processing choice of this study, not an official annual Dynamic World product. At each source pixel, the quality statistic is</w:t>
      </w:r>
      <w:r>
        <w:t xml:space="preserve"> </w:t>
      </w:r>
      <m:oMath>
        <m:sSub>
          <m:e>
            <m:r>
              <m:t>r</m:t>
            </m:r>
          </m:e>
          <m:sub>
            <m:r>
              <m:t>y</m:t>
            </m:r>
          </m:sub>
        </m:sSub>
        <m:r>
          <m:rPr>
            <m:sty m:val="p"/>
          </m:rPr>
          <m:t>=</m:t>
        </m:r>
        <m:sSub>
          <m:e>
            <m:r>
              <m:rPr>
                <m:sty m:val="p"/>
              </m:rPr>
              <m:t>max</m:t>
            </m:r>
          </m:e>
          <m:sub>
            <m:r>
              <m:t>c</m:t>
            </m:r>
          </m:sub>
        </m:sSub>
        <m:r>
          <m:rPr>
            <m:sty m:val="p"/>
          </m:rPr>
          <m:t>[</m:t>
        </m:r>
        <m:r>
          <m:rPr>
            <m:sty m:val="p"/>
          </m:rPr>
          <m:t>|</m:t>
        </m:r>
        <m:sSub>
          <m:e>
            <m:r>
              <m:t>T</m:t>
            </m:r>
          </m:e>
          <m:sub>
            <m:r>
              <m:t>y</m:t>
            </m:r>
          </m:sub>
        </m:sSub>
        <m:sSup>
          <m:e>
            <m:r>
              <m:rPr>
                <m:sty m:val="p"/>
              </m:rPr>
              <m:t>|</m:t>
            </m:r>
          </m:e>
          <m:sup>
            <m:r>
              <m:rPr>
                <m:sty m:val="p"/>
              </m:rPr>
              <m:t>−</m:t>
            </m:r>
            <m:r>
              <m:t>1</m:t>
            </m:r>
          </m:sup>
        </m:sSup>
        <m:nary>
          <m:naryPr>
            <m:chr m:val="∑"/>
            <m:limLoc m:val="undOvr"/>
            <m:subHide m:val="off"/>
            <m:supHide m:val="on"/>
          </m:naryPr>
          <m:sub>
            <m:r>
              <m:t>j</m:t>
            </m:r>
            <m:r>
              <m:rPr>
                <m:sty m:val="p"/>
              </m:rPr>
              <m:t>∈</m:t>
            </m:r>
            <m:sSub>
              <m:e>
                <m:r>
                  <m:t>T</m:t>
                </m:r>
              </m:e>
              <m:sub>
                <m:r>
                  <m:t>y</m:t>
                </m:r>
              </m:sub>
            </m:sSub>
          </m:sub>
          <m:sup>
            <m:r>
              <m:t>​</m:t>
            </m:r>
          </m:sup>
          <m:e>
            <m:sSub>
              <m:e>
                <m:r>
                  <m:t>p</m:t>
                </m:r>
              </m:e>
              <m:sub>
                <m:r>
                  <m:t>j</m:t>
                </m:r>
                <m:r>
                  <m:rPr>
                    <m:sty m:val="p"/>
                  </m:rPr>
                  <m:t>,</m:t>
                </m:r>
                <m:r>
                  <m:t>c</m:t>
                </m:r>
              </m:sub>
            </m:sSub>
          </m:e>
        </m:nary>
        <m:r>
          <m:rPr>
            <m:sty m:val="p"/>
          </m:rPr>
          <m:t>]</m:t>
        </m:r>
      </m:oMath>
      <w:r>
        <w:t xml:space="preserve">, where</w:t>
      </w:r>
      <w:r>
        <w:t xml:space="preserve"> </w:t>
      </w:r>
      <m:oMath>
        <m:sSub>
          <m:e>
            <m:r>
              <m:t>T</m:t>
            </m:r>
          </m:e>
          <m:sub>
            <m:r>
              <m:t>y</m:t>
            </m:r>
          </m:sub>
        </m:sSub>
      </m:oMath>
      <w:r>
        <w:t xml:space="preserve"> </w:t>
      </w:r>
      <w:r>
        <w:t xml:space="preserve">denotes valid scenes in year</w:t>
      </w:r>
      <w:r>
        <w:t xml:space="preserve"> </w:t>
      </w:r>
      <m:oMath>
        <m:r>
          <m:t>y</m:t>
        </m:r>
      </m:oMath>
      <w:r>
        <w:t xml:space="preserve"> </w:t>
      </w:r>
      <w:r>
        <w:t xml:space="preserve">and</w:t>
      </w:r>
      <w:r>
        <w:t xml:space="preserve"> </w:t>
      </w:r>
      <m:oMath>
        <m:r>
          <m:t>c</m:t>
        </m:r>
      </m:oMath>
      <w:r>
        <w:t xml:space="preserve"> </w:t>
      </w:r>
      <w:r>
        <w:t xml:space="preserve">indexes the nine source classes. Thus the operation is maximum of temporal mean probabilities, not temporal mean of scene-wise maxima; its maximizing class need not equal the annual modal label. The annual label and the two quality bands were exported directly to the canonical 100-m transform with Earth Engine’s default nearest-neighbour resampling; no post-export 10 × 10 arithmetic or modal aggregation was applied. The archived band name</w:t>
      </w:r>
      <w:r>
        <w:t xml:space="preserve"> </w:t>
      </w:r>
      <w:r>
        <w:rPr>
          <w:rStyle w:val="VerbatimChar"/>
        </w:rPr>
        <w:t xml:space="preserve">mean_top_probability</w:t>
      </w:r>
      <w:r>
        <w:t xml:space="preserve"> </w:t>
      </w:r>
      <w:r>
        <w:t xml:space="preserve">is retained for compatibility. This statistic is a weighting proxy, not a calibrated probability that the annual label is correct. The nine Dynamic World labels were crosswalked to six canonical classes: water (source 0), woody vegetation (1), low vegetation (2, 4 and 5), wetland (3), built (6) and bare (7). Source class 8 was excluded.</w:t>
      </w:r>
    </w:p>
    <w:p>
      <w:pPr>
        <w:pStyle w:val="BodyText"/>
      </w:pPr>
      <w:r>
        <w:t xml:space="preserve">The second sequence was materialized from the public ArcGIS ImageServer</w:t>
      </w:r>
      <w:r>
        <w:t xml:space="preserve"> </w:t>
      </w:r>
      <w:r>
        <w:rPr>
          <w:rStyle w:val="VerbatimChar"/>
        </w:rPr>
        <w:t xml:space="preserve">Sentinel2_10m_LandCover</w:t>
      </w:r>
      <w:r>
        <w:t xml:space="preserve">, whose metadata attributes the global annual series to Impact Observatory, Microsoft and Esri (Impact Observatory et al., n.d.). The study by Karra et al. (2021) describes the classification lineage; it does not independently validate every annual layer or subsequent service revision. The associated Living Atlas item states that its 2018–2025 layers use a more complete image collection and cautions that 2017 may be less accurate (Esri, 2026). It does not disclose annual model-version identifiers. The materialization manifest, created on 9 September 2026, records the service URL, temporal extent, class mapping and SHA-256 hashes of the downloaded and aggregated rasters. No immutable upstream release identifier is recorded, so the reproducibility target is this archived snapshot rather than the changing live service.</w:t>
      </w:r>
    </w:p>
    <w:p>
      <w:pPr>
        <w:pStyle w:val="BodyText"/>
      </w:pPr>
      <w:r>
        <w:t xml:space="preserve">The service labels are Water (1), Trees (2), Flooded vegetation (4), Crops (5), Built (7), Bare (8), Snow/Ice (9), Clouds (10) and Rangeland (11). We mapped them to water (1), woody vegetation (2), wetland (4), low vegetation (5 and 11), built (7) and bare (8), excluding snow/ice and clouds. Mapping Rangeland to low vegetation is a study crosswalk decision, not an official land-use statement. A descriptive counterfactual mapping it to bare before the same 10 × 10 majority aggregation changes 2,265–2,792 100-m labels per year (Supplementary Table S6); no model was refit, so this does not establish rank sensitivity. Native 10-m labels were retained for audit, then aggregated after crosswalking by majority among usable cells in each 10 × 10 block. The resulting majority fraction served as the ArcGIS-track aggregation-quality term; it is not equivalent to Dynamic World’s maximum temporal-mean probability. Both sequences are explicitly treated as public land cover. Neither provides residential, commercial or industrial land use, zoning, cadastral status or development approvals.</w:t>
      </w:r>
    </w:p>
    <w:p>
      <w:pPr>
        <w:pStyle w:val="BodyText"/>
      </w:pPr>
      <w:r>
        <w:t xml:space="preserve">Annual 64-dimensional AlphaEarth embeddings were spatially averaged to the canonical grid and locally L2-normalized (Brown et al., 2025). The collection is GOOGLE/SATELLITE_EMBEDDING/V1/ANNUAL, with raster hashes recorded in the GEE input manifest; Brown et al. (2025) is cited as a preprint describing the embedding model.</w:t>
      </w:r>
    </w:p>
    <w:p>
      <w:pPr>
        <w:pStyle w:val="BodyText"/>
      </w:pPr>
      <w:r>
        <w:t xml:space="preserve">We formed the night-time-light driver from monthly</w:t>
      </w:r>
      <w:r>
        <w:t xml:space="preserve"> </w:t>
      </w:r>
      <w:r>
        <w:rPr>
          <w:rStyle w:val="VerbatimChar"/>
        </w:rPr>
        <w:t xml:space="preserve">NOAA/VIIRS/DNB/MONTHLY_V1/VCMSLCFG</w:t>
      </w:r>
      <w:r>
        <w:t xml:space="preserve"> </w:t>
      </w:r>
      <w:r>
        <w:t xml:space="preserve">composites (Earth Observation Group, n.d.). The implementation takes an unweighted mean of available, unmasked</w:t>
      </w:r>
      <w:r>
        <w:t xml:space="preserve"> </w:t>
      </w:r>
      <w:r>
        <w:rPr>
          <w:rStyle w:val="VerbatimChar"/>
        </w:rPr>
        <w:t xml:space="preserve">avg_rad</w:t>
      </w:r>
      <w:r>
        <w:t xml:space="preserve"> </w:t>
      </w:r>
      <w:r>
        <w:t xml:space="preserve">values within each calendar year; absent months are not imputed, and the collection is required to be nonempty rather than to contain twelve months. It does not apply an additional</w:t>
      </w:r>
      <w:r>
        <w:t xml:space="preserve"> </w:t>
      </w:r>
      <w:r>
        <w:rPr>
          <w:rStyle w:val="VerbatimChar"/>
        </w:rPr>
        <w:t xml:space="preserve">cf_cvg</w:t>
      </w:r>
      <w:r>
        <w:t xml:space="preserve"> </w:t>
      </w:r>
      <w:r>
        <w:t xml:space="preserve">mask or observation-count weighting. This author-generated annual feature is distinct from the annual product described by Elvidge et al. (2021), which is cited for background. The monthly product documentation recommends using cloud-free observation counts to assess coverage and notes that temporary lights and background values are not separated. Uneven coverage and transient illumination can therefore affect this driver.</w:t>
      </w:r>
    </w:p>
    <w:p>
      <w:pPr>
        <w:pStyle w:val="BodyText"/>
      </w:pPr>
      <w:r>
        <w:t xml:space="preserve">Copernicus DEM GLO-30 release</w:t>
      </w:r>
      <w:r>
        <w:t xml:space="preserve"> </w:t>
      </w:r>
      <w:r>
        <w:rPr>
          <w:rStyle w:val="VerbatimChar"/>
        </w:rPr>
        <w:t xml:space="preserve">2024_1</w:t>
      </w:r>
      <w:r>
        <w:t xml:space="preserve"> </w:t>
      </w:r>
      <w:r>
        <w:t xml:space="preserve">supplied surface elevation and a finite-difference slope derivative (Copernicus, 2024). This is a digital surface model (DSM) containing buildings, infrastructure and vegetation, not a bare-earth terrain model. Its release identifier is not an acquisition year; the catalogue lists a 2010–2020 observation range. We have not established tile-specific acquisition dates or quantified urban surface-object effects on slope, so it is treated as a static retrospective covariate. OpenStreetMap road geometries from the Geofabrik GCC snapshot</w:t>
      </w:r>
      <w:r>
        <w:t xml:space="preserve"> </w:t>
      </w:r>
      <w:r>
        <w:rPr>
          <w:rStyle w:val="VerbatimChar"/>
        </w:rPr>
        <w:t xml:space="preserve">gcc-states-260731.osm.pbf</w:t>
      </w:r>
      <w:r>
        <w:t xml:space="preserve"> </w:t>
      </w:r>
      <w:r>
        <w:t xml:space="preserve">were rasterized into distance-to-road and distance-to-major-road surfaces (Geofabrik, 2026). The dated upstream PBF URL is no longer live and that snapshot is not distributed in this revision; the archived derived road-distance rasters, their checksums and the materialization manifest are the reproducible model inputs. The city geometry is separately recorded in</w:t>
      </w:r>
      <w:r>
        <w:t xml:space="preserve"> </w:t>
      </w:r>
      <w:r>
        <w:rPr>
          <w:rStyle w:val="VerbatimChar"/>
        </w:rPr>
        <w:t xml:space="preserve">boundary_manifest.json</w:t>
      </w:r>
      <w:r>
        <w:t xml:space="preserve">. ESA WorldCover 2021 supplied public water and wetland/mangrove constraint proxies (Zanaga et al., 2022). All dynamic and static layers were checked for exact CRS, transform, width and height agreement.</w:t>
      </w:r>
    </w:p>
    <w:p>
      <w:pPr>
        <w:pStyle w:val="BodyText"/>
      </w:pPr>
      <w:r>
        <w:t xml:space="preserve">For an external public-product diagnostic, the ESA WorldCover 2020 v1.0 and 2021 v2.0 built-up class (value 50) was converted to built fraction on each 100-m benchmark cell (Zanaga et al., 2021, 2022). Built presence was tested at fractions of 0.05, 0.10, 0.20 and 0.30. Built gain required a cell to cross from below to at or above the threshold; built loss used the reverse definition. Binary precision, recall, F1 and intersection over union were calculated for the Dynamic World transition and for the 2020-origin predictions. The original oracle-demand comparison uses Dynamic World 2021 built counts; because the built count decreases in this window, it cannot allocate any built gains and is a structural-zero, zero-power test of gain location. We therefore also supplied the WorldCover built-gain count as the action, ranked candidate cells with the 2020-origin Kernel proposal, and compared it with random allocation from the same candidate population. This count-controlled variant is the informative allocation diagnostic, but it remains product agreement rather than ground-truth validation: the two WorldCover years use different product versions, WorldCover and Dynamic World both derive from Sentinel observations, and neither represents statutory Abu Dhabi land use.</w:t>
      </w:r>
    </w:p>
    <w:bookmarkEnd w:id="15"/>
    <w:bookmarkStart w:id="16"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The HistGradientBoostingClassifier implementation in scikit-learn 1.9.0, as specified in the archived environment lock, estimates the six-class probability vector (Pedregosa et al., 2011).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quality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Here</w:t>
      </w:r>
      <w:r>
        <w:t xml:space="preserve"> </w:t>
      </w:r>
      <m:oMath>
        <m:r>
          <m:t>r</m:t>
        </m:r>
      </m:oMath>
      <w:r>
        <w:t xml:space="preserve"> </w:t>
      </w:r>
      <w:r>
        <w:t xml:space="preserve">is Dynamic World maximum temporal-mean probability in the original track and the within-block majority fraction in the ArcGIS-served track. These terms have different semantics and are retained as parts of their respective product pipelines. A held-out target is never used during fitting or model selection.</w:t>
      </w:r>
    </w:p>
    <w:bookmarkEnd w:id="16"/>
    <w:bookmarkStart w:id="17"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This projection is a minimum-change allocator. Let</w:t>
      </w:r>
      <w:r>
        <w:t xml:space="preserve"> </w:t>
      </w:r>
      <m:oMath>
        <m:sSub>
          <m:e>
            <m:r>
              <m:t>n</m:t>
            </m:r>
          </m:e>
          <m:sub>
            <m:r>
              <m:t>c</m:t>
            </m:r>
          </m:sub>
        </m:sSub>
      </m:oMath>
      <w:r>
        <w:t xml:space="preserve"> </w:t>
      </w:r>
      <w:r>
        <w:t xml:space="preserve">and</w:t>
      </w:r>
      <w:r>
        <w:t xml:space="preserve"> </w:t>
      </w:r>
      <m:oMath>
        <m:sSub>
          <m:e>
            <m:r>
              <m:t>a</m:t>
            </m:r>
          </m:e>
          <m:sub>
            <m:r>
              <m:t>c</m:t>
            </m:r>
          </m:sub>
        </m:sSub>
      </m:oMath>
      <w:r>
        <w:t xml:space="preserve"> </w:t>
      </w:r>
      <w:r>
        <w:t xml:space="preserve">be origin and feasible target counts. The number of changed cells is exactly</w:t>
      </w:r>
      <w:r>
        <w:t xml:space="preserve"> </w:t>
      </w:r>
      <m:oMath>
        <m:r>
          <m:t>M</m:t>
        </m:r>
        <m:r>
          <m:rPr>
            <m:sty m:val="p"/>
          </m:rPr>
          <m:t>=</m:t>
        </m:r>
        <m:f>
          <m:fPr>
            <m:type m:val="bar"/>
          </m:fPr>
          <m:num>
            <m:r>
              <m:t>1</m:t>
            </m:r>
          </m:num>
          <m:den>
            <m:r>
              <m:t>2</m:t>
            </m:r>
          </m:den>
        </m:f>
        <m:nary>
          <m:naryPr>
            <m:chr m:val="∑"/>
            <m:limLoc m:val="undOvr"/>
            <m:subHide m:val="off"/>
            <m:supHide m:val="on"/>
          </m:naryPr>
          <m:sub>
            <m:r>
              <m:t>c</m:t>
            </m:r>
          </m:sub>
          <m:sup>
            <m:r>
              <m:t>​</m:t>
            </m:r>
          </m:sup>
          <m:e>
            <m:r>
              <m:rPr>
                <m:sty m:val="p"/>
              </m:rPr>
              <m:t>|</m:t>
            </m:r>
          </m:e>
        </m:nary>
        <m:sSub>
          <m:e>
            <m:r>
              <m:t>a</m:t>
            </m:r>
          </m:e>
          <m:sub>
            <m:r>
              <m:t>c</m:t>
            </m:r>
          </m:sub>
        </m:sSub>
        <m:r>
          <m:rPr>
            <m:sty m:val="p"/>
          </m:rPr>
          <m:t>−</m:t>
        </m:r>
        <m:sSub>
          <m:e>
            <m:r>
              <m:t>n</m:t>
            </m:r>
          </m:e>
          <m:sub>
            <m:r>
              <m:t>c</m:t>
            </m:r>
          </m:sub>
        </m:sSub>
        <m:r>
          <m:rPr>
            <m:sty m:val="p"/>
          </m:rPr>
          <m:t>|</m:t>
        </m:r>
      </m:oMath>
      <w:r>
        <w:t xml:space="preserve">. A class can supply cells or receive cells in one step, but cannot do both; unchanged class totals therefore suppress within-class gross gain/loss exchanges. This is a substantive restriction on land-cover dynamics, shared by GeoFM-LDN through its use of the same allocator, rather than a consequence of exact-count constraints in general. With</w:t>
      </w:r>
      <w:r>
        <w:t xml:space="preserve"> </w:t>
      </w:r>
      <m:oMath>
        <m:r>
          <m:t>O</m:t>
        </m:r>
      </m:oMath>
      <w:r>
        <w:t xml:space="preserve"> </w:t>
      </w:r>
      <w:r>
        <w:t xml:space="preserve">observed changed cells, strict FoM is bounded above by</w:t>
      </w:r>
      <w:r>
        <w:t xml:space="preserve"> </w:t>
      </w:r>
      <m:oMath>
        <m:r>
          <m:rPr>
            <m:sty m:val="p"/>
          </m:rPr>
          <m:t>min</m:t>
        </m:r>
        <m:r>
          <m:rPr>
            <m:sty m:val="p"/>
          </m:rPr>
          <m:t>(</m:t>
        </m:r>
        <m:r>
          <m:t>M</m:t>
        </m:r>
        <m:r>
          <m:rPr>
            <m:sty m:val="p"/>
          </m:rPr>
          <m:t>,</m:t>
        </m:r>
        <m:r>
          <m:t>O</m:t>
        </m:r>
        <m:r>
          <m:rPr>
            <m:sty m:val="p"/>
          </m:rPr>
          <m:t>)</m:t>
        </m:r>
        <m:r>
          <m:rPr>
            <m:sty m:val="p"/>
          </m:rPr>
          <m:t>/</m:t>
        </m:r>
        <m:r>
          <m:rPr>
            <m:sty m:val="p"/>
          </m:rPr>
          <m:t>max</m:t>
        </m:r>
        <m:r>
          <m:rPr>
            <m:sty m:val="p"/>
          </m:rPr>
          <m:t>(</m:t>
        </m:r>
        <m:r>
          <m:t>M</m:t>
        </m:r>
        <m:r>
          <m:rPr>
            <m:sty m:val="p"/>
          </m:rPr>
          <m:t>,</m:t>
        </m:r>
        <m:r>
          <m:t>O</m:t>
        </m:r>
        <m:r>
          <m:rPr>
            <m:sty m:val="p"/>
          </m:rPr>
          <m:t>)</m:t>
        </m:r>
      </m:oMath>
      <w:r>
        <w:t xml:space="preserve"> </w:t>
      </w:r>
      <w:r>
        <w:t xml:space="preserve">when the denominator is nonzero. This is a loose count-only bound, not an attainable optimum: destination classes, hard masks and spatial restrictions can further reduce attainable hits. Supplementary Table S7 derives the bound from the frozen fold reports and checks predicted moves against origin and feasible target counts. We do not divide observed FoM by this bound or interpret such a ratio as independently validated skill.</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7"/>
    <w:bookmarkStart w:id="18" w:name="baselines-and-common-evaluator"/>
    <w:p>
      <w:pPr>
        <w:pStyle w:val="Heading3"/>
      </w:pPr>
      <w:r>
        <w:t xml:space="preserve">Baselines and common evaluator</w:t>
      </w:r>
    </w:p>
    <w:p>
      <w:pPr>
        <w:pStyle w:val="FirstParagraph"/>
      </w:pPr>
      <w:r>
        <w:t xml:space="preserve">The baseline was run through a GeoSOS-derived FLUS-style ANN–CA console (study-specific build;</w:t>
      </w:r>
      <w:r>
        <w:t xml:space="preserve"> </w:t>
      </w:r>
      <w:r>
        <w:rPr>
          <w:rStyle w:val="VerbatimChar"/>
        </w:rPr>
        <w:t xml:space="preserve">paper-benchmark-flus-v1.1</w:t>
      </w:r>
      <w:r>
        <w:t xml:space="preserve">)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The algorithmic base is traceable to the GeoSOS team’s public FLUS source release (Liu et al., 2017; GeoSOS team, n.d.). The binary was rebuilt from the preceding source revision</w:t>
      </w:r>
      <w:r>
        <w:t xml:space="preserve"> </w:t>
      </w:r>
      <w:r>
        <w:rPr>
          <w:rStyle w:val="VerbatimChar"/>
        </w:rPr>
        <w:t xml:space="preserve">deb0a54</w:t>
      </w:r>
      <w:r>
        <w:t xml:space="preserve">; the retained</w:t>
      </w:r>
      <w:r>
        <w:t xml:space="preserve"> </w:t>
      </w:r>
      <w:r>
        <w:rPr>
          <w:rStyle w:val="VerbatimChar"/>
        </w:rPr>
        <w:t xml:space="preserve">paper-benchmark-flus-v1.1</w:t>
      </w:r>
      <w:r>
        <w:t xml:space="preserve"> </w:t>
      </w:r>
      <w:r>
        <w:t xml:space="preserve">source tag at</w:t>
      </w:r>
      <w:r>
        <w:t xml:space="preserve"> </w:t>
      </w:r>
      <w:r>
        <w:rPr>
          <w:rStyle w:val="VerbatimChar"/>
        </w:rPr>
        <w:t xml:space="preserve">47e65b3</w:t>
      </w:r>
      <w:r>
        <w:t xml:space="preserve"> </w:t>
      </w:r>
      <w:r>
        <w:t xml:space="preserve">adds invalid-input failure handling only. Both revisions contain the study-specific</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for ANN sampling and CA roulette draws, so the build is not the unmodified upstream executable. A 25-feature Kernel-matched input was then executed with absolute paths for seeds 31, 47 and 73 and is reported only as a platform-sensitive diagnostic. It shares the Kernel feature family, but not the learning target or projection semantics: the FLUS ANN estimates same-year label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whereas the Kernel proposal is trained to estimate a next-state transition</w:t>
      </w:r>
      <w:r>
        <w:t xml:space="preserve"> </w:t>
      </w:r>
      <m:oMath>
        <m:r>
          <m:t>p</m:t>
        </m:r>
        <m:r>
          <m:rPr>
            <m:sty m:val="p"/>
          </m:rPr>
          <m:t>(</m:t>
        </m:r>
        <m:sSub>
          <m:e>
            <m:r>
              <m:t>S</m:t>
            </m:r>
          </m:e>
          <m:sub>
            <m:r>
              <m:t>t</m:t>
            </m:r>
            <m:r>
              <m:rPr>
                <m:sty m:val="p"/>
              </m:rPr>
              <m:t>+</m:t>
            </m:r>
            <m:r>
              <m:t>1</m:t>
            </m:r>
          </m:sub>
        </m:sSub>
        <m:r>
          <m:rPr>
            <m:sty m:val="p"/>
          </m:rPr>
          <m:t>∣</m:t>
        </m:r>
        <m:sSub>
          <m:e>
            <m:r>
              <m:t>S</m:t>
            </m:r>
          </m:e>
          <m:sub>
            <m:r>
              <m:t>t</m:t>
            </m:r>
          </m:sub>
        </m:sSub>
        <m:r>
          <m:rPr>
            <m:sty m:val="p"/>
          </m:rPr>
          <m:t>,</m:t>
        </m:r>
        <m:sSub>
          <m:e>
            <m:r>
              <m:t>X</m:t>
            </m:r>
          </m:e>
          <m:sub>
            <m:r>
              <m:t>t</m:t>
            </m:r>
          </m:sub>
        </m:sSub>
        <m:r>
          <m:rPr>
            <m:sty m:val="p"/>
          </m:rPr>
          <m:t>)</m:t>
        </m:r>
      </m:oMath>
      <w:r>
        <w:t xml:space="preserve"> </w:t>
      </w:r>
      <w:r>
        <w:t xml:space="preserve">before constrained projection. Matching features therefore does not match the training task. Two intermediate configurations were retained as mechanism diagnostics: 13 features (seven drivers plus current-class indicators) and 19 features (seven drivers plus neighbourhood fractions). The 25-feature run collapsed to zero change for macOS seeds 47 and 73 and for all three independent external Windows x86_64 verification runs; the remaining macOS seed-31 run is not used as a valid estimator. The external evidence is identified in Supplementary Table S3; its source rasters are not locally archived. The 19-feature mode produced changes for all three macOS seeds but underfilled the observed 4,500 and 8,464 changed cells in 2023 and 2024. Both modes are therefore diagnostic-only.</w:t>
      </w:r>
    </w:p>
    <w:p>
      <w:pPr>
        <w:pStyle w:val="BodyText"/>
      </w:pPr>
      <w:r>
        <w:t xml:space="preserve">GeoFM-LDN (Geospatial Foundation-Model Latent Dynamics Network; the repository’s former</w:t>
      </w:r>
      <w:r>
        <w:t xml:space="preserve"> </w:t>
      </w:r>
      <w:r>
        <w:rPr>
          <w:rStyle w:val="VerbatimChar"/>
        </w:rPr>
        <w:t xml:space="preserve">paper58</w:t>
      </w:r>
      <w:r>
        <w:t xml:space="preserve"> </w:t>
      </w:r>
      <w:r>
        <w:t xml:space="preserve">path identifier) was implemented as a demand-conditioned residual latent-dynamics network on 64-channel AlphaEarth patches. Three 128-channel convolutions use dilation rates 1, 2 and 4, followed by a 1 × 1 projection to a 64-dimensional latent state. A 12-dimensional action vector (origin and target counts for six classes) is encoded by a two-layer MLP and broadcast across the patch before concatenation with the embedding. Group normalization and GELU activations are used in the residual blocks. A scikit-learn logistic-regression decoder maps the predicted latent embedding to six semantic classes. Training uses 64 × 64 patches, batch size 2, eight epochs, AdamW with learning rate</w:t>
      </w:r>
      <w:r>
        <w:t xml:space="preserve"> </w:t>
      </w:r>
      <m:oMath>
        <m:r>
          <m:t>3</m:t>
        </m:r>
        <m:r>
          <m:rPr>
            <m:sty m:val="p"/>
          </m:rPr>
          <m:t>×</m:t>
        </m:r>
        <m:sSup>
          <m:e>
            <m:r>
              <m:t>10</m:t>
            </m:r>
          </m:e>
          <m:sup>
            <m:r>
              <m:rPr>
                <m:sty m:val="p"/>
              </m:rPr>
              <m:t>−</m:t>
            </m:r>
            <m:r>
              <m:t>4</m:t>
            </m:r>
          </m:sup>
        </m:sSup>
      </m:oMath>
      <w:r>
        <w:t xml:space="preserve"> </w:t>
      </w:r>
      <w:r>
        <w:t xml:space="preserve">and weight decay</w:t>
      </w:r>
      <w:r>
        <w:t xml:space="preserve"> </w:t>
      </w:r>
      <m:oMath>
        <m:sSup>
          <m:e>
            <m:r>
              <m:t>10</m:t>
            </m:r>
          </m:e>
          <m:sup>
            <m:r>
              <m:rPr>
                <m:sty m:val="p"/>
              </m:rPr>
              <m:t>−</m:t>
            </m:r>
            <m:r>
              <m:t>4</m:t>
            </m:r>
          </m:sup>
        </m:sSup>
      </m:oMath>
      <w:r>
        <w:t xml:space="preserve">; the loss is the weighted sum of cosine embedding loss, 0.5 semantic cross-entropy, 0.1 demand-consistency loss and 0.2 hard-constraint consistency loss. The released checkpoints correspond to seeds 31, 47 and 73 and were trained in August 2026. The default reproduction loads these fixed checkpoints rather than retraining; the runner exposes retraining separately. Fixed checkpoints do not remove the decoding runtime boundary: categorical output still depends on the locked Torch and scikit-learn stack. Same-stack reproduction is the declared reference; no independent cross-stack GeoFM-LDN raster comparison is claimed, and changes between pre-lock and locked-environment outputs are not attributed to CPU architecture or to one library. During allocation, GeoFM-LDN directly calls the Geospatial Kernel</w:t>
      </w:r>
      <w:r>
        <w:t xml:space="preserve"> </w:t>
      </w:r>
      <w:r>
        <w:rPr>
          <w:rStyle w:val="VerbatimChar"/>
        </w:rPr>
        <w:t xml:space="preserve">allocate_action</w:t>
      </w:r>
      <w:r>
        <w:t xml:space="preserve"> </w:t>
      </w:r>
      <w:r>
        <w:t xml:space="preserve">routine, so both methods share the same constrained projection and differ primarily in their proposal model. The comparison is therefore a proposal/pipeline comparison, not a comparison of two independent projection architectures. The name describes this benchmark implementation and does not attribute an external publication or performance claim.</w:t>
      </w:r>
    </w:p>
    <w:p>
      <w:pPr>
        <w:pStyle w:val="BodyText"/>
      </w:pPr>
      <w:r>
        <w:t xml:space="preserve">For the cross-product backtest, the FLUS-style suitability fit expanded from 2017 through the origin year, the Kernel transition fit ended at the origin, and GeoFM-LDN used only pre-origin label years for its decoder, pre-selection transitions for network fitting and the transition ending at the origin for epoch selection. All GeoFM-LDN folds were retrained for eight epochs at each seed rather than loading the original fixed checkpoints. The three learned candidates were evaluated alongside persistence and an exact-count random minimum-change allocator. Kernel, GeoFM-LDN and random allocation met feasible oracle class totals exactly; the finite-iteration FLUS-style CA retained any unmet demand as normalized demand total variation rather than receiving a post-hoc raster correction.</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new-built component counts, the union of 2024 built and newly built components, all-final-built component counts, a 500-m leapfrog rate, distances to roads and prior built cells, infrastructure proxy distance and built retirement. Pareto membership is calculated within each scenario over three release objectives: major-road distance, prior-built distance and union-built component density. Ecological conversion is retained as a descriptive public-data pressure proxy because it is structurally zero for the two exact-count allocators and therefore has no discriminating power in their comparison. Vegetation gain is a scenario input and remains descriptive, not an objective.</w:t>
      </w:r>
    </w:p>
    <w:bookmarkEnd w:id="18"/>
    <w:bookmarkStart w:id="19"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 product-specific scenario manifests; the legacy</w:t>
      </w:r>
      <w:r>
        <w:t xml:space="preserve"> </w:t>
      </w:r>
      <w:r>
        <w:rPr>
          <w:rStyle w:val="VerbatimChar"/>
        </w:rPr>
        <w:t xml:space="preserve">compact</w:t>
      </w:r>
      <w:r>
        <w:t xml:space="preserve"> </w:t>
      </w:r>
      <w:r>
        <w:t xml:space="preserve">path identifier is retained only for artifact compatibility. It is not an endorsement of compact-city outcomes, which can have distributional trade-offs (Burton, 2000). Dynamic World-origin actions cover 2025–2031 and ArcGIS-origin actions cover 2026–2031. Their totals are explicit extensions of the preceding annual difference and are not derived from an official population, housing or infrastructure forecast. Future exogenous rasters are held at their respective final observed-year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 The green-priority label denotes a vegetation-quantity sensitivity action, not demonstrated ecological sustainability. The primary Pareto comparison is within each scenario, contrasting the three models under the same product-specific action; cross-product frontier membership is a sensitivity test, not a forecast-accuracy comparison. The current release objective set is road access, prior-built distance and union-built component density. Ecological conversion is reported as a diagnostic rather than a Pareto objective because it is structurally zero for the exact-count Kernel and GeoFM-LDN allocations. We treat this as a release objective set rather than a prespecified planning preference, and treat its variants as robustness diagnostics.</w:t>
      </w:r>
    </w:p>
    <w:bookmarkEnd w:id="19"/>
    <w:bookmarkStart w:id="20" w:name="change-polygons-and-reproducibility"/>
    <w:p>
      <w:pPr>
        <w:pStyle w:val="Heading3"/>
      </w:pPr>
      <w:r>
        <w:t xml:space="preserve">Change polygons and reproducibility</w:t>
      </w:r>
    </w:p>
    <w:p>
      <w:pPr>
        <w:pStyle w:val="FirstParagraph"/>
      </w:pPr>
      <w:r>
        <w:t xml:space="preserve">For each model–scenario pair, annual and cumulative differences from the origin raster are extracted as changed 100-m cells and dissolved into GeoPackage layers. The Dynamic World-origin delivery manifest covers 45 ensemble rasters for 2027–2031 and nine vector packages. The ArcGIS-origin delivery contains 54 ensemble rasters for 2026–2031, nine multilayer GeoPackages and matching Shapefiles; a separate native-10-m GeoPackage records observed 2024→2025 product change. The audit scripts fail on missing source rasters, reports or vectors. Historical predictions and bootstrap reports for both product tracks retain per-file hashes and temporal-firewall declarations. The vector layers preserve raster-cell geometry and should not be interpreted as cadastral parcels.</w:t>
      </w:r>
    </w:p>
    <w:bookmarkEnd w:id="20"/>
    <w:bookmarkEnd w:id="21"/>
    <w:bookmarkStart w:id="50" w:name="results"/>
    <w:p>
      <w:pPr>
        <w:pStyle w:val="Heading2"/>
      </w:pPr>
      <w:r>
        <w:t xml:space="preserve">Results</w:t>
      </w:r>
    </w:p>
    <w:bookmarkStart w:id="25"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The original Dynamic World evaluation mask contains 79,726 cells and the ArcGIS-served track contains 79,775 cells before target-specific common-coverage checks. Each cell represents 1 ha. Both annual sequences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public-data run was not information-balanced. The original FLUS-style control used seven continuous drivers in its external ANN suitability model, whereas Geospatial Kernel used 25 features including current-class indicators and neighbourhood proportions; GeoFM-LDN used AlphaEarth latent embeddings and the Kernel allocator. We therefore report the original result as an unmatched-input pipeline comparison, not evidence that one learner is intrinsically superior. The additional 25-feature FLUS run is a feature-space diagnostic only, because it still learns same-year suitability rather than next-state transitions and does not use the Kernel projection implementation. Across six platform–seed runs, five produced zero-change outputs through current-class identity leakage. The archived FLUS console is a Mach-O arm64 executable rebuilt from the public GeoSOS source base with the author-modified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patch; its exact source is archived at</w:t>
      </w:r>
      <w:r>
        <w:t xml:space="preserve"> </w:t>
      </w:r>
      <w:r>
        <w:rPr>
          <w:rStyle w:val="VerbatimChar"/>
        </w:rPr>
        <w:t xml:space="preserve">FLUS_console_crossplatform</w:t>
      </w:r>
      <w:r>
        <w:t xml:space="preserve"> </w:t>
      </w:r>
      <w:r>
        <w:t xml:space="preserve">commit</w:t>
      </w:r>
      <w:r>
        <w:t xml:space="preserve"> </w:t>
      </w:r>
      <w:r>
        <w:rPr>
          <w:rStyle w:val="VerbatimChar"/>
        </w:rPr>
        <w:t xml:space="preserve">deb0a54</w:t>
      </w:r>
      <w:r>
        <w:t xml:space="preserve">. It is not asserted to be bitwise equivalent to an unmodified upstream build. All headline and diagnostic runs used seeds 31, 47 and 73.</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p>
      <w:pPr>
        <w:pStyle w:val="CaptionedFigure"/>
        <w:keepNext/>
      </w:pPr>
      <w:r>
        <w:drawing>
          <wp:inline>
            <wp:extent cx="5334000" cy="3546609"/>
            <wp:effectExtent b="0" l="0" r="0" t="0"/>
            <wp:docPr descr="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 title="" id="23" name="Picture"/>
            <a:graphic>
              <a:graphicData uri="http://schemas.openxmlformats.org/drawingml/2006/picture">
                <pic:pic>
                  <pic:nvPicPr>
                    <pic:cNvPr descr="figures/fig01_benchmark_contract.png" id="24" name="Picture"/>
                    <pic:cNvPicPr>
                      <a:picLocks noChangeArrowheads="1" noChangeAspect="1"/>
                    </pic:cNvPicPr>
                  </pic:nvPicPr>
                  <pic:blipFill>
                    <a:blip r:embed="rId22"/>
                    <a:stretch>
                      <a:fillRect/>
                    </a:stretch>
                  </pic:blipFill>
                  <pic:spPr bwMode="auto">
                    <a:xfrm>
                      <a:off x="0" y="0"/>
                      <a:ext cx="5334000" cy="3546609"/>
                    </a:xfrm>
                    <a:prstGeom prst="rect">
                      <a:avLst/>
                    </a:prstGeom>
                    <a:noFill/>
                    <a:ln w="9525">
                      <a:noFill/>
                      <a:headEnd/>
                      <a:tailEnd/>
                    </a:ln>
                  </pic:spPr>
                </pic:pic>
              </a:graphicData>
            </a:graphic>
          </wp:inline>
        </w:drawing>
      </w:r>
    </w:p>
    <w:p>
      <w:pPr>
        <w:pStyle w:val="ImageCaption"/>
        <w:keepLines/>
      </w:pPr>
      <w:r>
        <w:t>Figure 1. 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w:t>
      </w:r>
    </w:p>
    <w:bookmarkEnd w:id="25"/>
    <w:bookmarkStart w:id="29" w:name="X3f5e228b10c7eb77c564f813ab2c4e4911c7a74"/>
    <w:p>
      <w:pPr>
        <w:pStyle w:val="Heading3"/>
      </w:pPr>
      <w:r>
        <w:t xml:space="preserve">Secondary historical benchmark and planning objective definitions</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explicit zero-model controls.</w:t>
      </w:r>
    </w:p>
    <w:p>
      <w:pPr>
        <w:pStyle w:val="BodyText"/>
      </w:pPr>
      <w:r>
        <w:t xml:space="preserve">The original planning track starts from the observed 2024 state and applies three</w:t>
      </w:r>
      <w:r>
        <w:t xml:space="preserve"> </w:t>
      </w:r>
      <w:r>
        <w:t xml:space="preserve">synthetic class-count actions through 2031. The release objective set is version</w:t>
      </w:r>
      <w:r>
        <w:t xml:space="preserve"> </w:t>
      </w:r>
      <w:r>
        <w:t xml:space="preserve">6. It uses mean distance of new built cells to major roads, mean distance to</w:t>
      </w:r>
      <w:r>
        <w:t xml:space="preserve"> </w:t>
      </w:r>
      <w:r>
        <w:t xml:space="preserve">pre-existing built cells and connected components in the union of 2024 built and</w:t>
      </w:r>
      <w:r>
        <w:t xml:space="preserve"> </w:t>
      </w:r>
      <w:r>
        <w:t xml:space="preserve">newly built cells per 1,000 valid cells. These are public-data proxies. Ecological</w:t>
      </w:r>
      <w:r>
        <w:t xml:space="preserve"> </w:t>
      </w:r>
      <w:r>
        <w:t xml:space="preserve">conversion is retained as a descriptive diagnostic, not an objective, because it</w:t>
      </w:r>
      <w:r>
        <w:t xml:space="preserve"> </w:t>
      </w:r>
      <w:r>
        <w:t xml:space="preserve">is structurally zero for the two exact-count allocators. Vegetation gain is</w:t>
      </w:r>
      <w:r>
        <w:t xml:space="preserve"> </w:t>
      </w:r>
      <w:r>
        <w:t xml:space="preserve">excluded because it is supplied directly by the scenario action, and all-final-</w:t>
      </w:r>
      <w:r>
        <w:t xml:space="preserve"> </w:t>
      </w:r>
      <w:r>
        <w:t xml:space="preserve">built component density is reported only as a diagnostic because it can be</w:t>
      </w:r>
      <w:r>
        <w:t xml:space="preserve"> </w:t>
      </w:r>
      <w:r>
        <w:t xml:space="preserve">changed by built-cell retirement. No weighted composite score is used. Because</w:t>
      </w:r>
      <w:r>
        <w:t xml:space="preserve"> </w:t>
      </w:r>
      <w:r>
        <w:t xml:space="preserve">the objective set changed across the review rounds, we disclose the lineage: v1</w:t>
      </w:r>
      <w:r>
        <w:t xml:space="preserve"> </w:t>
      </w:r>
      <w:r>
        <w:t xml:space="preserve">included seven access, ecological, neighbourhood and gain terms; v2 proposed</w:t>
      </w:r>
      <w:r>
        <w:t xml:space="preserve"> </w:t>
      </w:r>
      <w:r>
        <w:t xml:space="preserve">roads, prior-built distance, fragmentation and leapfrog rate but was not run; v3</w:t>
      </w:r>
      <w:r>
        <w:t xml:space="preserve"> </w:t>
      </w:r>
      <w:r>
        <w:t xml:space="preserve">used ecological conversion, roads, leapfrog rate and built retirement; and v4</w:t>
      </w:r>
      <w:r>
        <w:t xml:space="preserve"> </w:t>
      </w:r>
      <w:r>
        <w:t xml:space="preserve">combined roads, prior-built distance, all-built fragmentation and vegetation</w:t>
      </w:r>
      <w:r>
        <w:t xml:space="preserve"> </w:t>
      </w:r>
      <w:r>
        <w:t xml:space="preserve">gain. The current v6 release replaces v5 after the review identified the</w:t>
      </w:r>
      <w:r>
        <w:t xml:space="preserve"> </w:t>
      </w:r>
      <w:r>
        <w:t xml:space="preserve">structural-zero ecological objective and the semantic inversion of new-only</w:t>
      </w:r>
      <w:r>
        <w:t xml:space="preserve"> </w:t>
      </w:r>
      <w:r>
        <w:t xml:space="preserve">fragmentation. Sensitivity sets are recomputed on the same rasters and reported</w:t>
      </w:r>
      <w:r>
        <w:t xml:space="preserve"> </w:t>
      </w:r>
      <w:r>
        <w:t xml:space="preserve">as robustness analyses, not as additional preregistered claims. These are</w:t>
      </w:r>
      <w:r>
        <w:t xml:space="preserve"> </w:t>
      </w:r>
      <w:r>
        <w:t xml:space="preserve">measurable public-data proxies rather than claims about welfare, equity or</w:t>
      </w:r>
      <w:r>
        <w:t xml:space="preserve"> </w:t>
      </w:r>
      <w:r>
        <w:t xml:space="preserve">statutory zoning.</w:t>
      </w:r>
    </w:p>
    <w:p>
      <w:pPr>
        <w:pStyle w:val="BodyText"/>
      </w:pPr>
      <w:r>
        <w:t xml:space="preserve">The released public-data bundle supports a complete re-scoring of the current</w:t>
      </w:r>
      <w:r>
        <w:t xml:space="preserve"> </w:t>
      </w:r>
      <w:r>
        <w:t xml:space="preserve">historical rasters and a re-compilation of the 2025–2031 planning rasters. The</w:t>
      </w:r>
      <w:r>
        <w:t xml:space="preserve"> </w:t>
      </w:r>
      <w:r>
        <w:t xml:space="preserve">strict multi-class transition FoM (mean across three seeds) was 0.1256, 0.1961</w:t>
      </w:r>
      <w:r>
        <w:t xml:space="preserve"> </w:t>
      </w:r>
      <w:r>
        <w:t xml:space="preserve">and 0.1619 for the FLUS-style console, Geospatial Kernel and GeoFM-LDN in 2023,</w:t>
      </w:r>
      <w:r>
        <w:t xml:space="preserve"> </w:t>
      </w:r>
      <w:r>
        <w:t xml:space="preserve">and 0.1782, 0.2529 and 0.2708 in 2024, respectively. Under this unmatched</w:t>
      </w:r>
      <w:r>
        <w:t xml:space="preserve"> </w:t>
      </w:r>
      <w:r>
        <w:t xml:space="preserve">public-data pipeline, Geospatial Kernel had the largest 2023 value, whereas</w:t>
      </w:r>
      <w:r>
        <w:t xml:space="preserve"> </w:t>
      </w:r>
      <w:r>
        <w:t xml:space="preserve">GeoFM-LDN had the largest 2024 value after recursive two-step rollout; no</w:t>
      </w:r>
      <w:r>
        <w:t xml:space="preserve"> </w:t>
      </w:r>
      <w:r>
        <w:t xml:space="preserve">single model dominated both horizons. These rankings are conditional on the</w:t>
      </w:r>
      <w:r>
        <w:t xml:space="preserve"> </w:t>
      </w:r>
      <w:r>
        <w:t xml:space="preserve">different inputs, learners and shared evaluation projection.</w:t>
      </w:r>
    </w:p>
    <w:p>
      <w:pPr>
        <w:pStyle w:val="BodyText"/>
      </w:pPr>
      <w:r>
        <w:rPr>
          <w:b/>
          <w:bCs/>
        </w:rPr>
        <w:t xml:space="preserve">Table 1. Historical strict destination-change FoM.</w:t>
      </w:r>
      <w:r>
        <w:t xml:space="preserve"> </w:t>
      </w:r>
      <w:r>
        <w:t xml:space="preserve">Values are means across</w:t>
      </w:r>
      <w:r>
        <w:t xml:space="preserve"> </w:t>
      </w:r>
      <w:r>
        <w:t xml:space="preserve">three frozen computational seeds. The 25-feature FLUS run is excluded because</w:t>
      </w:r>
      <w:r>
        <w:t xml:space="preserve"> </w:t>
      </w:r>
      <w:r>
        <w:t xml:space="preserve">it is not a comparable estimator: five of six platform–seed runs collapsed to</w:t>
      </w:r>
      <w:r>
        <w:t xml:space="preserve"> </w:t>
      </w:r>
      <w:r>
        <w:t xml:space="preserve">zero change. Persistence (0.0000 in both years) and random minimum-change</w:t>
      </w:r>
      <w:r>
        <w:t xml:space="preserve"> </w:t>
      </w:r>
      <w:r>
        <w:t xml:space="preserve">allocation (0.0253 in 2023; 0.0605 in 2024) are explicit zero-model controls</w:t>
      </w:r>
      <w:r>
        <w:t xml:space="preserve"> </w:t>
      </w:r>
      <w:r>
        <w:t xml:space="preserve">and are plotted in Fig.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Target year</w:t>
            </w:r>
          </w:p>
        </w:tc>
        <w:tc>
          <w:tcPr/>
          <w:p>
            <w:pPr>
              <w:pStyle w:val="Compact"/>
              <w:jc w:val="right"/>
            </w:pPr>
            <w:r>
              <w:t xml:space="preserve">FLUS-style ANN-CA</w:t>
            </w:r>
          </w:p>
        </w:tc>
        <w:tc>
          <w:tcPr/>
          <w:p>
            <w:pPr>
              <w:pStyle w:val="Compact"/>
              <w:jc w:val="right"/>
            </w:pPr>
            <w:r>
              <w:t xml:space="preserve">Geospatial Kernel</w:t>
            </w:r>
          </w:p>
        </w:tc>
        <w:tc>
          <w:tcPr/>
          <w:p>
            <w:pPr>
              <w:pStyle w:val="Compact"/>
              <w:jc w:val="right"/>
            </w:pPr>
            <w:r>
              <w:t xml:space="preserve">GeoFM-LDN</w:t>
            </w:r>
          </w:p>
        </w:tc>
      </w:tr>
      <w:tr>
        <w:tc>
          <w:tcPr/>
          <w:p>
            <w:pPr>
              <w:pStyle w:val="Compact"/>
              <w:jc w:val="left"/>
            </w:pPr>
            <w:r>
              <w:t xml:space="preserve">2023 (one-step)</w:t>
            </w:r>
          </w:p>
        </w:tc>
        <w:tc>
          <w:tcPr/>
          <w:p>
            <w:pPr>
              <w:pStyle w:val="Compact"/>
              <w:jc w:val="right"/>
            </w:pPr>
            <w:r>
              <w:t xml:space="preserve">0.1256</w:t>
            </w:r>
          </w:p>
        </w:tc>
        <w:tc>
          <w:tcPr/>
          <w:p>
            <w:pPr>
              <w:pStyle w:val="Compact"/>
              <w:jc w:val="right"/>
            </w:pPr>
            <w:r>
              <w:rPr>
                <w:b/>
                <w:bCs/>
              </w:rPr>
              <w:t xml:space="preserve">0.1961</w:t>
            </w:r>
          </w:p>
        </w:tc>
        <w:tc>
          <w:tcPr/>
          <w:p>
            <w:pPr>
              <w:pStyle w:val="Compact"/>
              <w:jc w:val="right"/>
            </w:pPr>
            <w:r>
              <w:t xml:space="preserve">0.1619</w:t>
            </w:r>
          </w:p>
        </w:tc>
      </w:tr>
      <w:tr>
        <w:tc>
          <w:tcPr/>
          <w:p>
            <w:pPr>
              <w:pStyle w:val="Compact"/>
              <w:jc w:val="left"/>
            </w:pPr>
            <w:r>
              <w:t xml:space="preserve">2024 (two-step open-loop)</w:t>
            </w:r>
          </w:p>
        </w:tc>
        <w:tc>
          <w:tcPr/>
          <w:p>
            <w:pPr>
              <w:pStyle w:val="Compact"/>
              <w:jc w:val="right"/>
            </w:pPr>
            <w:r>
              <w:t xml:space="preserve">0.1782</w:t>
            </w:r>
          </w:p>
        </w:tc>
        <w:tc>
          <w:tcPr/>
          <w:p>
            <w:pPr>
              <w:pStyle w:val="Compact"/>
              <w:jc w:val="right"/>
            </w:pPr>
            <w:r>
              <w:t xml:space="preserve">0.2529</w:t>
            </w:r>
          </w:p>
        </w:tc>
        <w:tc>
          <w:tcPr/>
          <w:p>
            <w:pPr>
              <w:pStyle w:val="Compact"/>
              <w:jc w:val="right"/>
            </w:pPr>
            <w:r>
              <w:rPr>
                <w:b/>
                <w:bCs/>
              </w:rPr>
              <w:t xml:space="preserve">0.2708</w:t>
            </w:r>
          </w:p>
        </w:tc>
      </w:tr>
    </w:tbl>
    <w:p>
      <w:pPr>
        <w:pStyle w:val="BodyText"/>
      </w:pPr>
      <w:r>
        <w:t xml:space="preserve">Spatial-block bootstrap model contrasts support these differences. For 2023,</w:t>
      </w:r>
      <w:r>
        <w:t xml:space="preserve"> </w:t>
      </w:r>
      <w:r>
        <w:t xml:space="preserve">Kernel minus the FLUS-style control was 0.0703 [0.0558, 0.0866] and GeoFM-LDN</w:t>
      </w:r>
      <w:r>
        <w:t xml:space="preserve"> </w:t>
      </w:r>
      <w:r>
        <w:t xml:space="preserve">minus Kernel was -0.0341 [-0.0479, -0.0209]. For 2024, GeoFM-LDN minus Kernel</w:t>
      </w:r>
      <w:r>
        <w:t xml:space="preserve"> </w:t>
      </w:r>
      <w:r>
        <w:t xml:space="preserve">was 0.0177 [0.0033, 0.0314]. These are conditional pipeline contrasts on public labels,</w:t>
      </w:r>
      <w:r>
        <w:t xml:space="preserve"> </w:t>
      </w:r>
      <w:r>
        <w:t xml:space="preserve">not independent-sample significance tests. The persistence control had higher</w:t>
      </w:r>
      <w:r>
        <w:t xml:space="preserve"> </w:t>
      </w:r>
      <w:r>
        <w:t xml:space="preserve">overall accuracy than every learned candidate (0.9436 in 2023 and 0.8938 in</w:t>
      </w:r>
      <w:r>
        <w:t xml:space="preserve"> </w:t>
      </w:r>
      <w:r>
        <w:t xml:space="preserve">2024), illustrating why change-specific metrics are necessary. Fig. 2 shows</w:t>
      </w:r>
      <w:r>
        <w:t xml:space="preserve"> </w:t>
      </w:r>
      <w:r>
        <w:t xml:space="preserve">the four historical metrics alongside the persistence and random minimum-change</w:t>
      </w:r>
      <w:r>
        <w:t xml:space="preserve"> </w:t>
      </w:r>
      <w:r>
        <w:t xml:space="preserve">controls; main-model bars use three-seed population standard deviations,</w:t>
      </w:r>
      <w:r>
        <w:t xml:space="preserve"> </w:t>
      </w:r>
      <w:r>
        <w:t xml:space="preserve">whereas the paired spatial-block intervals above are the uncertainty summaries</w:t>
      </w:r>
      <w:r>
        <w:t xml:space="preserve"> </w:t>
      </w:r>
      <w:r>
        <w:t xml:space="preserve">used for model contrasts. The 25- and 19-feature FLUS diagnostics are reported</w:t>
      </w:r>
      <w:r>
        <w:t xml:space="preserve"> </w:t>
      </w:r>
      <w:r>
        <w:t xml:space="preserve">in the machine-readable archive and Supplementary Table S3.</w:t>
      </w:r>
    </w:p>
    <w:p>
      <w:pPr>
        <w:pStyle w:val="CaptionedFigure"/>
        <w:keepNext/>
      </w:pPr>
      <w:r>
        <w:drawing>
          <wp:inline>
            <wp:extent cx="5334000" cy="2501067"/>
            <wp:effectExtent b="0" l="0" r="0" t="0"/>
            <wp:docPr descr="Historical allocation skill. Strict destination-change FoM is the primary metric; change F1 is shown as a secondary diagnostic. Bars show mean plus or minus population standard deviation across the three frozen seeds. Persistence and random allocation are explicit zero-model controls." title="" id="27" name="Picture"/>
            <a:graphic>
              <a:graphicData uri="http://schemas.openxmlformats.org/drawingml/2006/picture">
                <pic:pic>
                  <pic:nvPicPr>
                    <pic:cNvPr descr="figures/fig02_historical_validation.png" id="28" name="Picture"/>
                    <pic:cNvPicPr>
                      <a:picLocks noChangeArrowheads="1" noChangeAspect="1"/>
                    </pic:cNvPicPr>
                  </pic:nvPicPr>
                  <pic:blipFill>
                    <a:blip r:embed="rId26"/>
                    <a:stretch>
                      <a:fillRect/>
                    </a:stretch>
                  </pic:blipFill>
                  <pic:spPr bwMode="auto">
                    <a:xfrm>
                      <a:off x="0" y="0"/>
                      <a:ext cx="5334000" cy="2501067"/>
                    </a:xfrm>
                    <a:prstGeom prst="rect">
                      <a:avLst/>
                    </a:prstGeom>
                    <a:noFill/>
                    <a:ln w="9525">
                      <a:noFill/>
                      <a:headEnd/>
                      <a:tailEnd/>
                    </a:ln>
                  </pic:spPr>
                </pic:pic>
              </a:graphicData>
            </a:graphic>
          </wp:inline>
        </w:drawing>
      </w:r>
    </w:p>
    <w:p>
      <w:pPr>
        <w:pStyle w:val="ImageCaption"/>
        <w:keepLines/>
      </w:pPr>
      <w:r>
        <w:t>Figure 2. Historical allocation skill. Strict destination-change FoM is the primary metric; change F1 is shown as a secondary diagnostic. Bars show mean plus or minus population standard deviation across the three frozen seeds. Persistence and random allocation are explicit zero-model controls.</w:t>
      </w:r>
    </w:p>
    <w:p>
      <w:pPr>
        <w:pStyle w:val="BodyText"/>
      </w:pPr>
      <w:r>
        <w:t xml:space="preserve">An additional FLUS input-dimension analysis was also completed. The</w:t>
      </w:r>
      <w:r>
        <w:t xml:space="preserve"> </w:t>
      </w:r>
      <w:r>
        <w:t xml:space="preserve">25-feature run is not a valid point estimator: macOS seeds 47 and 73 and all</w:t>
      </w:r>
      <w:r>
        <w:t xml:space="preserve"> </w:t>
      </w:r>
      <w:r>
        <w:t xml:space="preserve">three independent external Windows x86_64 verification runs produced zero-change outputs,</w:t>
      </w:r>
      <w:r>
        <w:t xml:space="preserve"> </w:t>
      </w:r>
      <w:r>
        <w:t xml:space="preserve">whereas macOS seed 31 was the sole non-collapsed run. The six-run pattern is</w:t>
      </w:r>
      <w:r>
        <w:t xml:space="preserve"> </w:t>
      </w:r>
      <w:r>
        <w:t xml:space="preserve">therefore platform-sensitive and is retained as an identity-leakage diagnostic,</w:t>
      </w:r>
      <w:r>
        <w:t xml:space="preserve"> </w:t>
      </w:r>
      <w:r>
        <w:t xml:space="preserve">not as a Kernel contrast. The 19-feature diagnostic was run for all three macOS</w:t>
      </w:r>
      <w:r>
        <w:t xml:space="preserve"> </w:t>
      </w:r>
      <w:r>
        <w:t xml:space="preserve">seeds. Its strict FoM ranged from 0.1071 to 0.1617 in 2023 and from 0.0872 to</w:t>
      </w:r>
      <w:r>
        <w:t xml:space="preserve"> </w:t>
      </w:r>
      <w:r>
        <w:t xml:space="preserve">0.1386 in 2024; predicted changes ranged from 1,702 to 2,417 and from 1,805 to</w:t>
      </w:r>
      <w:r>
        <w:t xml:space="preserve"> </w:t>
      </w:r>
      <w:r>
        <w:t xml:space="preserve">2,499 cells, respectively, compared with 4,500 and 8,464 observed changes.</w:t>
      </w:r>
      <w:r>
        <w:t xml:space="preserve"> </w:t>
      </w:r>
      <w:r>
        <w:t xml:space="preserve">Demand total variation ranged from 0.0153 to 0.0305 in 2023 and from 0.0615 to</w:t>
      </w:r>
      <w:r>
        <w:t xml:space="preserve"> </w:t>
      </w:r>
      <w:r>
        <w:t xml:space="preserve">0.0767 in 2024. These results show why matching feature dimensions cannot make</w:t>
      </w:r>
      <w:r>
        <w:t xml:space="preserve"> </w:t>
      </w:r>
      <w:r>
        <w:t xml:space="preserve">the tasks equivalent: FLUS learns static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while</w:t>
      </w:r>
      <w:r>
        <w:t xml:space="preserve"> </w:t>
      </w:r>
      <w:r>
        <w:t xml:space="preserve">the Kernel learns next-state transitions and then projects them against action</w:t>
      </w:r>
      <w:r>
        <w:t xml:space="preserve"> </w:t>
      </w:r>
      <w:r>
        <w:t xml:space="preserve">deficits and hard constraints.</w:t>
      </w:r>
    </w:p>
    <w:p>
      <w:pPr>
        <w:pStyle w:val="BodyText"/>
      </w:pPr>
      <w:r>
        <w:t xml:space="preserve">The Dynamic World quality-proxy sensitivity is a label-quality and selection-effect diagnostic,</w:t>
      </w:r>
      <w:r>
        <w:t xml:space="preserve"> </w:t>
      </w:r>
      <w:r>
        <w:t xml:space="preserve">not an independent validation set or a model-skill test. Requiring both the</w:t>
      </w:r>
      <w:r>
        <w:t xml:space="preserve"> </w:t>
      </w:r>
      <w:r>
        <w:t xml:space="preserve">origin and target Dynamic World maximum temporal-mean probability to exceed 0.5 retains only</w:t>
      </w:r>
      <w:r>
        <w:t xml:space="preserve"> </w:t>
      </w:r>
      <w:r>
        <w:t xml:space="preserve">25 of 4,500 observed changes (0.56%) in 2023 and 56 of 8,464 (0.66%) in 2024.</w:t>
      </w:r>
      <w:r>
        <w:t xml:space="preserve"> </w:t>
      </w:r>
      <w:r>
        <w:t xml:space="preserve">Strict FoM is 0.000 for all three models in 2023; in 2024 the means are 0.0040</w:t>
      </w:r>
      <w:r>
        <w:t xml:space="preserve"> </w:t>
      </w:r>
      <w:r>
        <w:t xml:space="preserve">for the FLUS-style console, 0.0055 for Geospatial Kernel and 0.0188 for</w:t>
      </w:r>
      <w:r>
        <w:t xml:space="preserve"> </w:t>
      </w:r>
      <w:r>
        <w:t xml:space="preserve">GeoFM-LDN. Screening only the quality-proxy value of the year immediately preceding the</w:t>
      </w:r>
      <w:r>
        <w:t xml:space="preserve"> </w:t>
      </w:r>
      <w:r>
        <w:t xml:space="preserve">target avoids filtering on the target-year quality proxy, but still retains only 129</w:t>
      </w:r>
      <w:r>
        <w:t xml:space="preserve"> </w:t>
      </w:r>
      <w:r>
        <w:t xml:space="preserve">(2.87%) and 93 (1.10%) observed changes in 2023 and 2024, respectively. Its</w:t>
      </w:r>
      <w:r>
        <w:t xml:space="preserve"> </w:t>
      </w:r>
      <w:r>
        <w:t xml:space="preserve">2023 FoM values remain 0.000; its 2024 means are 0.0040, 0.0041 and 0.0120 for</w:t>
      </w:r>
      <w:r>
        <w:t xml:space="preserve"> </w:t>
      </w:r>
      <w:r>
        <w:t xml:space="preserve">the FLUS-style console, Kernel and GeoFM-LDN. The two filters therefore</w:t>
      </w:r>
      <w:r>
        <w:t xml:space="preserve"> </w:t>
      </w:r>
      <w:r>
        <w:t xml:space="preserve">describe label selection rather than establishing or rescuing model skill.</w:t>
      </w:r>
      <w:r>
        <w:t xml:space="preserve"> </w:t>
      </w:r>
      <w:r>
        <w:t xml:space="preserve">Dynamic World also reports built pixels increasing from 9,359 in 2022 to 15,598</w:t>
      </w:r>
      <w:r>
        <w:t xml:space="preserve"> </w:t>
      </w:r>
      <w:r>
        <w:t xml:space="preserve">in 2024 (67%), while the median one-year reversion fraction is 0.3611 and the</w:t>
      </w:r>
      <w:r>
        <w:t xml:space="preserve"> </w:t>
      </w:r>
      <w:r>
        <w:t xml:space="preserve">mean fraction of cells below confidence 0.5 is 0.5497. Test-year change counts</w:t>
      </w:r>
      <w:r>
        <w:t xml:space="preserve"> </w:t>
      </w:r>
      <w:r>
        <w:t xml:space="preserve">are approximately twice the training-transition counts. Because the same grid</w:t>
      </w:r>
      <w:r>
        <w:t xml:space="preserve"> </w:t>
      </w:r>
      <w:r>
        <w:t xml:space="preserve">cells recur across years and the Kernel includes coordinate features, a</w:t>
      </w:r>
      <w:r>
        <w:t xml:space="preserve"> </w:t>
      </w:r>
      <w:r>
        <w:t xml:space="preserve">training–test memory effect cannot be excluded; the reported scores should</w:t>
      </w:r>
      <w:r>
        <w:t xml:space="preserve"> </w:t>
      </w:r>
      <w:r>
        <w:t xml:space="preserve">therefore be interpreted as conditional agreement with the public product.</w:t>
      </w:r>
    </w:p>
    <w:bookmarkEnd w:id="29"/>
    <w:bookmarkStart w:id="33" w:name="Xf35d2cefa3408bab7531e6b3ab4202296c65812"/>
    <w:p>
      <w:pPr>
        <w:pStyle w:val="Heading3"/>
      </w:pPr>
      <w:r>
        <w:t xml:space="preserve">Rolling-origin and external-product tests expose temporal and label dependence</w:t>
      </w:r>
    </w:p>
    <w:p>
      <w:pPr>
        <w:pStyle w:val="FirstParagraph"/>
      </w:pPr>
      <w:r>
        <w:t xml:space="preserve">The leakage-controlled expanding-window test produced mean Kernel strict FoM</w:t>
      </w:r>
      <w:r>
        <w:t xml:space="preserve"> </w:t>
      </w:r>
      <w:r>
        <w:t xml:space="preserve">values of 0.2595, 0.0724, 0.2116 and 0.1816 for the 2021, 2022, 2023 and 2024</w:t>
      </w:r>
      <w:r>
        <w:t xml:space="preserve"> </w:t>
      </w:r>
      <w:r>
        <w:t xml:space="preserve">one-step targets, respectively. The corresponding random minimum-change values</w:t>
      </w:r>
      <w:r>
        <w:t xml:space="preserve"> </w:t>
      </w:r>
      <w:r>
        <w:t xml:space="preserve">were 0.0524, 0.0048, 0.0200 and 0.0323; persistence produced no predicted</w:t>
      </w:r>
      <w:r>
        <w:t xml:space="preserve"> </w:t>
      </w:r>
      <w:r>
        <w:t xml:space="preserve">change and therefore zero strict FoM. Paired 8 × 8-cell spatial-block contrasts</w:t>
      </w:r>
      <w:r>
        <w:t xml:space="preserve"> </w:t>
      </w:r>
      <w:r>
        <w:t xml:space="preserve">between Kernel and each zero model excluded zero in every target year and each</w:t>
      </w:r>
      <w:r>
        <w:t xml:space="preserve"> </w:t>
      </w:r>
      <w:r>
        <w:t xml:space="preserve">of the three seeds. The shared low 2022 values (Kernel 0.0724; random 0.0048)</w:t>
      </w:r>
      <w:r>
        <w:t xml:space="preserve"> </w:t>
      </w:r>
      <w:r>
        <w:t xml:space="preserve">indicate a difficult 2021→2022 transition for all allocators, consistent with</w:t>
      </w:r>
      <w:r>
        <w:t xml:space="preserve"> </w:t>
      </w:r>
      <w:r>
        <w:t xml:space="preserve">the elevated label-reversion rate in Fig. S2 and the contemporaneous fluctuation</w:t>
      </w:r>
      <w:r>
        <w:t xml:space="preserve"> </w:t>
      </w:r>
      <w:r>
        <w:t xml:space="preserve">in Dynamic World built counts, rather than a Kernel-specific failure. Persistence</w:t>
      </w:r>
      <w:r>
        <w:t xml:space="preserve"> </w:t>
      </w:r>
      <w:r>
        <w:t xml:space="preserve">also retained higher overall accuracy than Kernel in 2022–2024, whereas Kernel</w:t>
      </w:r>
      <w:r>
        <w:t xml:space="preserve"> </w:t>
      </w:r>
      <w:r>
        <w:t xml:space="preserve">had higher overall accuracy only in 2021. The change-specific and all-cell</w:t>
      </w:r>
      <w:r>
        <w:t xml:space="preserve"> </w:t>
      </w:r>
      <w:r>
        <w:t xml:space="preserve">metrics therefore answer different questions.</w:t>
      </w:r>
    </w:p>
    <w:p>
      <w:pPr>
        <w:pStyle w:val="BodyText"/>
      </w:pPr>
      <w:r>
        <w:t xml:space="preserve">The WorldCover comparison has two distinct interpretations. Across built</w:t>
      </w:r>
      <w:r>
        <w:t xml:space="preserve"> </w:t>
      </w:r>
      <w:r>
        <w:t xml:space="preserve">fractions from 0.05 to 0.30, WorldCover contained 1,445–1,802 built-gain cells</w:t>
      </w:r>
      <w:r>
        <w:t xml:space="preserve"> </w:t>
      </w:r>
      <w:r>
        <w:t xml:space="preserve">and 1,408–1,506 built-loss cells. Dynamic World-to-WorldCover built-gain F1 was</w:t>
      </w:r>
      <w:r>
        <w:t xml:space="preserve"> </w:t>
      </w:r>
      <w:r>
        <w:t xml:space="preserve">only 0.0111–0.0192. Dynamic World built pixels decreased from 9,642 in 2020 to</w:t>
      </w:r>
      <w:r>
        <w:t xml:space="preserve"> </w:t>
      </w:r>
      <w:r>
        <w:t xml:space="preserve">8,553 in 2021, so under the 2020→2021 Dynamic World oracle-demand action the</w:t>
      </w:r>
      <w:r>
        <w:t xml:space="preserve"> </w:t>
      </w:r>
      <w:r>
        <w:t xml:space="preserve">Kernel, random and persistence allocators necessarily produced no built-gain</w:t>
      </w:r>
      <w:r>
        <w:t xml:space="preserve"> </w:t>
      </w:r>
      <w:r>
        <w:t xml:space="preserve">cells. Their F1 of 0 is therefore a structural-zero, zero-power result and</w:t>
      </w:r>
      <w:r>
        <w:t xml:space="preserve"> </w:t>
      </w:r>
      <w:r>
        <w:t xml:space="preserve">cannot evaluate gain-location skill. The informative count-controlled variant</w:t>
      </w:r>
      <w:r>
        <w:t xml:space="preserve"> </w:t>
      </w:r>
      <w:r>
        <w:t xml:space="preserve">used the WorldCover gain count as the action and ranked 2020-origin Kernel</w:t>
      </w:r>
      <w:r>
        <w:t xml:space="preserve"> </w:t>
      </w:r>
      <w:r>
        <w:t xml:space="preserve">proposals against a random allocation from the same candidate population. Kernel</w:t>
      </w:r>
      <w:r>
        <w:t xml:space="preserve"> </w:t>
      </w:r>
      <w:r>
        <w:t xml:space="preserve">F1 was 0.0157–0.0397 versus 0.0251–0.0277 for random allocation. The mean ±</w:t>
      </w:r>
      <w:r>
        <w:t xml:space="preserve"> </w:t>
      </w:r>
      <w:r>
        <w:t xml:space="preserve">sample-SD pairs (Kernel versus random) were 0.0157 ± 0.0008 versus 0.0268 ±</w:t>
      </w:r>
      <w:r>
        <w:t xml:space="preserve"> </w:t>
      </w:r>
      <w:r>
        <w:t xml:space="preserve">0.0058 at 0.05, 0.0228 ± 0.0007 versus 0.0277 ± 0.0036 at 0.10, 0.0268 ±</w:t>
      </w:r>
      <w:r>
        <w:t xml:space="preserve"> </w:t>
      </w:r>
      <w:r>
        <w:t xml:space="preserve">0.0011 versus 0.0251 ± 0.0011 at 0.20, and 0.0397 ± 0.0007 versus 0.0251 ±</w:t>
      </w:r>
      <w:r>
        <w:t xml:space="preserve"> </w:t>
      </w:r>
      <w:r>
        <w:t xml:space="preserve">0.0075 at 0.30. Thus Kernel was below random at 0.05, the 0.10–0.20</w:t>
      </w:r>
      <w:r>
        <w:t xml:space="preserve"> </w:t>
      </w:r>
      <w:r>
        <w:t xml:space="preserve">differences were not distinguishable from three-seed variation, and only the</w:t>
      </w:r>
      <w:r>
        <w:t xml:space="preserve"> </w:t>
      </w:r>
      <w:r>
        <w:t xml:space="preserve">0.30 result was clearly above random. The low-threshold deficit is consistent</w:t>
      </w:r>
      <w:r>
        <w:t xml:space="preserve"> </w:t>
      </w:r>
      <w:r>
        <w:t xml:space="preserve">with WorldCover cells that barely exceed 5% built fraction, including sparse or</w:t>
      </w:r>
      <w:r>
        <w:t xml:space="preserve"> </w:t>
      </w:r>
      <w:r>
        <w:t xml:space="preserve">road-edge structure that Dynamic World does not consistently label as built;</w:t>
      </w:r>
      <w:r>
        <w:t xml:space="preserve"> </w:t>
      </w:r>
      <w:r>
        <w:t xml:space="preserve">the Kernel proposal learned from Dynamic World therefore ranks these product-</w:t>
      </w:r>
      <w:r>
        <w:t xml:space="preserve"> </w:t>
      </w:r>
      <w:r>
        <w:t xml:space="preserve">specific gains later than random candidates. For 2021 built stock, Kernel F1 was 0.3518–0.3971, while persistence was 0.3886–0.4387. The</w:t>
      </w:r>
      <w:r>
        <w:t xml:space="preserve"> </w:t>
      </w:r>
      <w:r>
        <w:t xml:space="preserve">corresponding Dynamic World 2020 and 2021 observed-stock baselines were</w:t>
      </w:r>
      <w:r>
        <w:t xml:space="preserve"> </w:t>
      </w:r>
      <w:r>
        <w:t xml:space="preserve">0.3908–0.4334 and 0.3501–0.3924, respectively, showing that the apparent</w:t>
      </w:r>
      <w:r>
        <w:t xml:space="preserve"> </w:t>
      </w:r>
      <w:r>
        <w:t xml:space="preserve">persistence advantage mirrors greater agreement of the 2020 label with</w:t>
      </w:r>
      <w:r>
        <w:t xml:space="preserve"> </w:t>
      </w:r>
      <w:r>
        <w:t xml:space="preserve">WorldCover rather than a model advantage. Fig. 3 separates these stock and</w:t>
      </w:r>
      <w:r>
        <w:t xml:space="preserve"> </w:t>
      </w:r>
      <w:r>
        <w:t xml:space="preserve">count-controlled gain comparisons; none is authoritative validation.</w:t>
      </w:r>
    </w:p>
    <w:p>
      <w:pPr>
        <w:pStyle w:val="CaptionedFigure"/>
        <w:keepNext/>
      </w:pPr>
      <w:r>
        <w:drawing>
          <wp:inline>
            <wp:extent cx="5334000" cy="3532492"/>
            <wp:effectExtent b="0" l="0" r="0" t="0"/>
            <wp:docPr descr="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 title="" id="31" name="Picture"/>
            <a:graphic>
              <a:graphicData uri="http://schemas.openxmlformats.org/drawingml/2006/picture">
                <pic:pic>
                  <pic:nvPicPr>
                    <pic:cNvPr descr="figures/fig03_rolling_external_diagnostics.png" id="32" name="Picture"/>
                    <pic:cNvPicPr>
                      <a:picLocks noChangeArrowheads="1" noChangeAspect="1"/>
                    </pic:cNvPicPr>
                  </pic:nvPicPr>
                  <pic:blipFill>
                    <a:blip r:embed="rId30"/>
                    <a:stretch>
                      <a:fillRect/>
                    </a:stretch>
                  </pic:blipFill>
                  <pic:spPr bwMode="auto">
                    <a:xfrm>
                      <a:off x="0" y="0"/>
                      <a:ext cx="5334000" cy="3532492"/>
                    </a:xfrm>
                    <a:prstGeom prst="rect">
                      <a:avLst/>
                    </a:prstGeom>
                    <a:noFill/>
                    <a:ln w="9525">
                      <a:noFill/>
                      <a:headEnd/>
                      <a:tailEnd/>
                    </a:ln>
                  </pic:spPr>
                </pic:pic>
              </a:graphicData>
            </a:graphic>
          </wp:inline>
        </w:drawing>
      </w:r>
    </w:p>
    <w:p>
      <w:pPr>
        <w:pStyle w:val="ImageCaption"/>
        <w:keepLines/>
      </w:pPr>
      <w:r>
        <w:t>Figure 3. 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w:t>
      </w:r>
    </w:p>
    <w:p>
      <w:pPr>
        <w:pStyle w:val="BodyText"/>
      </w:pPr>
      <w:r>
        <w:t xml:space="preserve">The reference reproduction environment is macOS arm64 with Python 3.11 and</w:t>
      </w:r>
      <w:r>
        <w:t xml:space="preserve"> </w:t>
      </w:r>
      <w:r>
        <w:t xml:space="preserve">scikit-learn 1.9.0. The archived Linux arm64 rerun uses Python 3.12 and</w:t>
      </w:r>
      <w:r>
        <w:t xml:space="preserve"> </w:t>
      </w:r>
      <w:r>
        <w:t xml:space="preserve">scikit-learn 1.8.0, so it measures a cross-stack boundary rather than an</w:t>
      </w:r>
      <w:r>
        <w:t xml:space="preserve"> </w:t>
      </w:r>
      <w:r>
        <w:t xml:space="preserve">architecture-only effect. Across six rasters (2023 and 2024 for each seed), it</w:t>
      </w:r>
      <w:r>
        <w:t xml:space="preserve"> </w:t>
      </w:r>
      <w:r>
        <w:t xml:space="preserve">differs from the current reference by 498–1,147 cells (0.62–1.44% of valid</w:t>
      </w:r>
      <w:r>
        <w:t xml:space="preserve"> </w:t>
      </w:r>
      <w:r>
        <w:t xml:space="preserve">cells), with strict-FoM deltas from -0.0023 to 0.0010. An author-controlled</w:t>
      </w:r>
      <w:r>
        <w:t xml:space="preserve"> </w:t>
      </w:r>
      <w:r>
        <w:t xml:space="preserve">GitHub Actions Ubuntu x86_64 rerun under Python 3.11.16 and scikit-learn 1.9.0</w:t>
      </w:r>
      <w:r>
        <w:t xml:space="preserve"> </w:t>
      </w:r>
      <w:r>
        <w:t xml:space="preserve">matched all six released categorical reference rasters exactly; its archived</w:t>
      </w:r>
      <w:r>
        <w:t xml:space="preserve"> </w:t>
      </w:r>
      <w:r>
        <w:t xml:space="preserve">audit is linked in Code availability. This is a scoped locked-stack regression</w:t>
      </w:r>
      <w:r>
        <w:t xml:space="preserve"> </w:t>
      </w:r>
      <w:r>
        <w:t xml:space="preserve">result, not universal bitwise identity. Independent external Windows FLUS</w:t>
      </w:r>
      <w:r>
        <w:t xml:space="preserve"> </w:t>
      </w:r>
      <w:r>
        <w:t xml:space="preserve">verification is documented with its provenance limitation in Supplementary</w:t>
      </w:r>
      <w:r>
        <w:t xml:space="preserve"> </w:t>
      </w:r>
      <w:r>
        <w:t xml:space="preserve">Table S3; its source rasters are not locally archived. The archived comparison</w:t>
      </w:r>
      <w:r>
        <w:t xml:space="preserve"> </w:t>
      </w:r>
      <w:r>
        <w:t xml:space="preserve">report records the exact paths and environment fields for the arm64 pair.</w:t>
      </w:r>
    </w:p>
    <w:bookmarkEnd w:id="33"/>
    <w:bookmarkStart w:id="40" w:name="Xca9386d477ada4c627d8a39106e79373e217705"/>
    <w:p>
      <w:pPr>
        <w:pStyle w:val="Heading3"/>
      </w:pPr>
      <w:r>
        <w:t xml:space="preserve">Cross-product replication changes measured model skill</w:t>
      </w:r>
    </w:p>
    <w:p>
      <w:pPr>
        <w:pStyle w:val="FirstParagraph"/>
      </w:pPr>
      <w:r>
        <w:t xml:space="preserve">The harmonized products disagree materially even before a model is fitted.</w:t>
      </w:r>
      <w:r>
        <w:t xml:space="preserve"> </w:t>
      </w:r>
      <w:r>
        <w:t xml:space="preserve">Across 2017–2024, same-year all-class agreement ranged from 0.651 to 0.745 and</w:t>
      </w:r>
      <w:r>
        <w:t xml:space="preserve"> </w:t>
      </w:r>
      <w:r>
        <w:t xml:space="preserve">built-class intersection over union from 0.320 to 0.449. In 2024, Dynamic World</w:t>
      </w:r>
      <w:r>
        <w:t xml:space="preserve"> </w:t>
      </w:r>
      <w:r>
        <w:t xml:space="preserve">mapped 155.98 km² of built land on the common grid, whereas the ArcGIS-served</w:t>
      </w:r>
      <w:r>
        <w:t xml:space="preserve"> </w:t>
      </w:r>
      <w:r>
        <w:t xml:space="preserve">Impact Observatory/Microsoft/Esri series mapped 335.57 km². The latter declined</w:t>
      </w:r>
      <w:r>
        <w:t xml:space="preserve"> </w:t>
      </w:r>
      <w:r>
        <w:t xml:space="preserve">to 327.31 km² in 2025. The added year improves the currency of the public origin</w:t>
      </w:r>
      <w:r>
        <w:t xml:space="preserve"> </w:t>
      </w:r>
      <w:r>
        <w:t xml:space="preserve">state, but neither the larger built stock nor the native 10-m pixel size</w:t>
      </w:r>
      <w:r>
        <w:t xml:space="preserve"> </w:t>
      </w:r>
      <w:r>
        <w:t xml:space="preserve">establishes greater local accuracy.</w:t>
      </w:r>
    </w:p>
    <w:p>
      <w:pPr>
        <w:pStyle w:val="BodyText"/>
      </w:pPr>
      <w:r>
        <w:t xml:space="preserve">The complete 6 × 6 annual cross-product matrices are supplied with the source</w:t>
      </w:r>
      <w:r>
        <w:t xml:space="preserve"> </w:t>
      </w:r>
      <w:r>
        <w:t xml:space="preserve">data and in Supplementary Table S4. In 2021, 2022 and 2024, 61.3–68.3% of</w:t>
      </w:r>
      <w:r>
        <w:t xml:space="preserve"> </w:t>
      </w:r>
      <w:r>
        <w:t xml:space="preserve">discordant cells were Dynamic World bare mapped as ArcGIS-served built (13,078,</w:t>
      </w:r>
      <w:r>
        <w:t xml:space="preserve"> </w:t>
      </w:r>
      <w:r>
        <w:t xml:space="preserve">18,787 and 17,987 cells, respectively); a further 3,723–4,496 cells per year</w:t>
      </w:r>
      <w:r>
        <w:t xml:space="preserve"> </w:t>
      </w:r>
      <w:r>
        <w:t xml:space="preserve">were Dynamic World bare mapped as ArcGIS-served water. Those transition counts</w:t>
      </w:r>
      <w:r>
        <w:t xml:space="preserve"> </w:t>
      </w:r>
      <w:r>
        <w:t xml:space="preserve">use the pairwise common-coverage grid. The ArcGIS-served product also mapped</w:t>
      </w:r>
      <w:r>
        <w:t xml:space="preserve"> </w:t>
      </w:r>
      <w:r>
        <w:t xml:space="preserve">4,501, 4,985 and 5,131 more water cells than Dynamic World in those three</w:t>
      </w:r>
      <w:r>
        <w:t xml:space="preserve"> </w:t>
      </w:r>
      <w:r>
        <w:t xml:space="preserve">years, using each product’s own valid-cell total (whose denominator differs by</w:t>
      </w:r>
      <w:r>
        <w:t xml:space="preserve"> </w:t>
      </w:r>
      <w:r>
        <w:t xml:space="preserve">18–23 cells from the paired grid). Because origin-year water and wetland are</w:t>
      </w:r>
      <w:r>
        <w:t xml:space="preserve"> </w:t>
      </w:r>
      <w:r>
        <w:t xml:space="preserve">hard masks, this product difference reduces the feasible allocation domain in</w:t>
      </w:r>
      <w:r>
        <w:t xml:space="preserve"> </w:t>
      </w:r>
      <w:r>
        <w:t xml:space="preserve">the ArcGIS track. It is therefore a pipeline difference, not an isolated</w:t>
      </w:r>
      <w:r>
        <w:t xml:space="preserve"> </w:t>
      </w:r>
      <w:r>
        <w:t xml:space="preserve">replacement of target labels.</w:t>
      </w:r>
    </w:p>
    <w:p>
      <w:pPr>
        <w:pStyle w:val="BodyText"/>
      </w:pPr>
      <w:r>
        <w:t xml:space="preserve">The ArcGIS-served sequence is also not temporally homogeneous under this</w:t>
      </w:r>
      <w:r>
        <w:t xml:space="preserve"> </w:t>
      </w:r>
      <w:r>
        <w:t xml:space="preserve">crosswalk. Its mapped built cells rise from 21,608 in 2021 to 28,214 in 2022</w:t>
      </w:r>
      <w:r>
        <w:t xml:space="preserve"> </w:t>
      </w:r>
      <w:r>
        <w:t xml:space="preserve">(+30.6%), while bare cells fall from 34,521 to 27,821. Woody vegetation declines</w:t>
      </w:r>
      <w:r>
        <w:t xml:space="preserve"> </w:t>
      </w:r>
      <w:r>
        <w:t xml:space="preserve">from 293 cells in 2021 to 22 in 2023 and 2 in 2025; wetland similarly declines</w:t>
      </w:r>
      <w:r>
        <w:t xml:space="preserve"> </w:t>
      </w:r>
      <w:r>
        <w:t xml:space="preserve">from 792 to 24 and 17. Supplementary Table S6 reports all annual class stocks,</w:t>
      </w:r>
      <w:r>
        <w:t xml:space="preserve"> </w:t>
      </w:r>
      <w:r>
        <w:t xml:space="preserve">the crosswalk sensitivity and product-agreement data. Dynamic World, in contrast,</w:t>
      </w:r>
      <w:r>
        <w:t xml:space="preserve"> </w:t>
      </w:r>
      <w:r>
        <w:t xml:space="preserve">retains roughly 900–1,100 wetland cells and 311–917 woody cells. The Living Atlas</w:t>
      </w:r>
      <w:r>
        <w:t xml:space="preserve"> </w:t>
      </w:r>
      <w:r>
        <w:t xml:space="preserve">documentation flags a different 2017 imagery basis but provides no annual</w:t>
      </w:r>
      <w:r>
        <w:t xml:space="preserve"> </w:t>
      </w:r>
      <w:r>
        <w:t xml:space="preserve">model-version history, so we cannot attribute the 2021–2023 break to a specific</w:t>
      </w:r>
      <w:r>
        <w:t xml:space="preserve"> </w:t>
      </w:r>
      <w:r>
        <w:t xml:space="preserve">service change. It must not be read as observed city conversion. In particular,</w:t>
      </w:r>
      <w:r>
        <w:t xml:space="preserve"> </w:t>
      </w:r>
      <w:r>
        <w:t xml:space="preserve">the high 2022 ArcGIS score evaluates allocation against a target whose class</w:t>
      </w:r>
      <w:r>
        <w:t xml:space="preserve"> </w:t>
      </w:r>
      <w:r>
        <w:t xml:space="preserve">totals partly encode this discontinuity; it is not evidence that the model</w:t>
      </w:r>
      <w:r>
        <w:t xml:space="preserve"> </w:t>
      </w:r>
      <w:r>
        <w:t xml:space="preserve">recovered a verified one-year construction event. The ArcGIS 2025 planning origin</w:t>
      </w:r>
      <w:r>
        <w:t xml:space="preserve"> </w:t>
      </w:r>
      <w:r>
        <w:t xml:space="preserve">likewise contains only two woody and 17 wetland cells. Water and wetland masks</w:t>
      </w:r>
      <w:r>
        <w:t xml:space="preserve"> </w:t>
      </w:r>
      <w:r>
        <w:t xml:space="preserve">remain hard exclusions, but ecological semantics attached to the latter class are</w:t>
      </w:r>
      <w:r>
        <w:t xml:space="preserve"> </w:t>
      </w:r>
      <w:r>
        <w:t xml:space="preserve">structurally sparse in that product track.</w:t>
      </w:r>
    </w:p>
    <w:p>
      <w:pPr>
        <w:pStyle w:val="BodyText"/>
      </w:pPr>
      <w:r>
        <w:t xml:space="preserve">Under the leakage-controlled matched protocol, Geospatial Kernel had the</w:t>
      </w:r>
      <w:r>
        <w:t xml:space="preserve"> </w:t>
      </w:r>
      <w:r>
        <w:t xml:space="preserve">largest mean strict FoM in all four Dynamic World targets (0.2595, 0.0724,</w:t>
      </w:r>
      <w:r>
        <w:t xml:space="preserve"> </w:t>
      </w:r>
      <w:r>
        <w:t xml:space="preserve">0.2116 and 0.1816 for 2021–2024), but in only two of the four matched</w:t>
      </w:r>
      <w:r>
        <w:t xml:space="preserve"> </w:t>
      </w:r>
      <w:r>
        <w:t xml:space="preserve">ArcGIS-served targets. FLUS-style ANN–CA had the highest mean in the</w:t>
      </w:r>
      <w:r>
        <w:t xml:space="preserve"> </w:t>
      </w:r>
      <w:r>
        <w:t xml:space="preserve">ArcGIS-served 2021 target (0.0625 versus Kernel 0.0154 and GeoFM-LDN 0.0314),</w:t>
      </w:r>
      <w:r>
        <w:t xml:space="preserve"> </w:t>
      </w:r>
      <w:r>
        <w:t xml:space="preserve">but this is not a like-for-like minimum-change comparison: FLUS changed</w:t>
      </w:r>
      <w:r>
        <w:t xml:space="preserve"> </w:t>
      </w:r>
      <w:r>
        <w:t xml:space="preserve">779–6,860 cells across seeds whereas the other three allocators changed exactly</w:t>
      </w:r>
      <w:r>
        <w:t xml:space="preserve"> </w:t>
      </w:r>
      <w:r>
        <w:t xml:space="preserve">278. GeoFM-LDN led in 2022</w:t>
      </w:r>
      <w:r>
        <w:t xml:space="preserve"> </w:t>
      </w:r>
      <w:r>
        <w:t xml:space="preserve">(0.4488 versus 0.2775 and 0.2227), and Kernel numerically led in 2023 and 2024</w:t>
      </w:r>
      <w:r>
        <w:t xml:space="preserve"> </w:t>
      </w:r>
      <w:r>
        <w:t xml:space="preserve">(0.1619 and 0.1674). The Kernel-minus-random paired spatial-block interval</w:t>
      </w:r>
      <w:r>
        <w:t xml:space="preserve"> </w:t>
      </w:r>
      <w:r>
        <w:t xml:space="preserve">excluded zero in every ArcGIS-served year and seed, including the additional</w:t>
      </w:r>
      <w:r>
        <w:t xml:space="preserve"> </w:t>
      </w:r>
      <w:r>
        <w:t xml:space="preserve">2025 target, but its ArcGIS-minus-Dynamic World mean FoM difference was -0.244,</w:t>
      </w:r>
      <w:r>
        <w:t xml:space="preserve"> </w:t>
      </w:r>
      <w:r>
        <w:t xml:space="preserve">+0.205, -0.050 and -0.014 across the four matched years. The positive 2022</w:t>
      </w:r>
      <w:r>
        <w:t xml:space="preserve"> </w:t>
      </w:r>
      <w:r>
        <w:t xml:space="preserve">difference is the target that follows the documented ArcGIS series break. With</w:t>
      </w:r>
      <w:r>
        <w:t xml:space="preserve"> </w:t>
      </w:r>
      <w:r>
        <w:t xml:space="preserve">that target excluded, ArcGIS-minus-Dynamic World differences remain negative</w:t>
      </w:r>
      <w:r>
        <w:t xml:space="preserve"> </w:t>
      </w:r>
      <w:r>
        <w:t xml:space="preserve">in every retained fold for Kernel (-0.244 to -0.014) and GeoFM-LDN (-0.215 to</w:t>
      </w:r>
      <w:r>
        <w:t xml:space="preserve"> </w:t>
      </w:r>
      <w:r>
        <w:t xml:space="preserve">-0.010); FLUS-style ANN–CA remains mixed (-0.100 to +0.023). This is a</w:t>
      </w:r>
      <w:r>
        <w:t xml:space="preserve"> </w:t>
      </w:r>
      <w:r>
        <w:t xml:space="preserve">directional sensitivity of agreement with product-specific labels, not a claim</w:t>
      </w:r>
      <w:r>
        <w:t xml:space="preserve"> </w:t>
      </w:r>
      <w:r>
        <w:t xml:space="preserve">that either product is more accurate. Thus the learned allocator contains</w:t>
      </w:r>
      <w:r>
        <w:t xml:space="preserve"> </w:t>
      </w:r>
      <w:r>
        <w:t xml:space="preserve">repeatable spatial signal relative to its zero model, while its absolute score</w:t>
      </w:r>
      <w:r>
        <w:t xml:space="preserve"> </w:t>
      </w:r>
      <w:r>
        <w:t xml:space="preserve">and rank remain dependent on the product pipeline. Supplementary Table S6 gives</w:t>
      </w:r>
      <w:r>
        <w:t xml:space="preserve"> </w:t>
      </w:r>
      <w:r>
        <w:t xml:space="preserve">both interval definitions, and Supplementary Table S7 reports all seed-specific</w:t>
      </w:r>
      <w:r>
        <w:t xml:space="preserve"> </w:t>
      </w:r>
      <w:r>
        <w:t xml:space="preserve">paired intervals for Kernel versus FLUS-style and GeoFM-LDN versus Kernel. In</w:t>
      </w:r>
      <w:r>
        <w:t xml:space="preserve"> </w:t>
      </w:r>
      <w:r>
        <w:t xml:space="preserve">the ArcGIS 2023 target, all three GeoFM-LDN-minus-Kernel intervals include zero</w:t>
      </w:r>
      <w:r>
        <w:t xml:space="preserve"> </w:t>
      </w:r>
      <w:r>
        <w:t xml:space="preserve">despite Kernel’s higher mean; in 2024, two exclude zero in Kernel’s favour and</w:t>
      </w:r>
      <w:r>
        <w:t xml:space="preserve"> </w:t>
      </w:r>
      <w:r>
        <w:t xml:space="preserve">one includes zero. These are conditional intervals,</w:t>
      </w:r>
      <w:r>
        <w:t xml:space="preserve"> </w:t>
      </w:r>
      <w:r>
        <w:t xml:space="preserve">not a pooled ranking test. The additional ArcGIS 2025 target gives mean FoM of</w:t>
      </w:r>
      <w:r>
        <w:t xml:space="preserve"> </w:t>
      </w:r>
      <w:r>
        <w:t xml:space="preserve">0.0731 for FLUS-style, 0.0654 for GeoFM-LDN and 0.0579 for Kernel. The FLUS mean</w:t>
      </w:r>
      <w:r>
        <w:t xml:space="preserve"> </w:t>
      </w:r>
      <w:r>
        <w:t xml:space="preserve">is driven upward by its seed-73 result (6,693 changed cells; FoM 0.1052), while</w:t>
      </w:r>
      <w:r>
        <w:t xml:space="preserve"> </w:t>
      </w:r>
      <w:r>
        <w:t xml:space="preserve">its other two seeds (1,651 and 957 changed cells; FoM 0.0632 and 0.0510) overlap</w:t>
      </w:r>
      <w:r>
        <w:t xml:space="preserve"> </w:t>
      </w:r>
      <w:r>
        <w:t xml:space="preserve">the Kernel seed range. Kernel is therefore not the numerical leader in that fold,</w:t>
      </w:r>
      <w:r>
        <w:t xml:space="preserve"> </w:t>
      </w:r>
      <w:r>
        <w:t xml:space="preserve">but neither is a seed-pooled claim of FLUS superiority supported. Block-size</w:t>
      </w:r>
      <w:r>
        <w:t xml:space="preserve"> </w:t>
      </w:r>
      <w:r>
        <w:t xml:space="preserve">sensitivity has not been established, and repeated seeds do not constitute</w:t>
      </w:r>
      <w:r>
        <w:t xml:space="preserve"> </w:t>
      </w:r>
      <w:r>
        <w:t xml:space="preserve">independent spatial or temporal replication. The</w:t>
      </w:r>
      <w:r>
        <w:t xml:space="preserve"> </w:t>
      </w:r>
      <w:r>
        <w:t xml:space="preserve">finite-iteration FLUS-style CA retained demand total variation up to 0.00153 in</w:t>
      </w:r>
      <w:r>
        <w:t xml:space="preserve"> </w:t>
      </w:r>
      <w:r>
        <w:t xml:space="preserve">the ArcGIS-served track and 0.00415 in Dynamic World; the exact-count Kernel,</w:t>
      </w:r>
      <w:r>
        <w:t xml:space="preserve"> </w:t>
      </w:r>
      <w:r>
        <w:t xml:space="preserve">GeoFM-LDN and random allocators had zero demand error by construction.</w:t>
      </w:r>
      <w:r>
        <w:t xml:space="preserve"> </w:t>
      </w:r>
      <w:r>
        <w:t xml:space="preserve">Supplementary Table S6 reports all target years and product-agreement values.</w:t>
      </w:r>
    </w:p>
    <w:p>
      <w:pPr>
        <w:pStyle w:val="BodyText"/>
      </w:pPr>
      <w:r>
        <w:t xml:space="preserve">The count-only analysis exposes an additional source of score dependence for</w:t>
      </w:r>
      <w:r>
        <w:t xml:space="preserve"> </w:t>
      </w:r>
      <w:r>
        <w:t xml:space="preserve">the exact minimum-change projections only. In</w:t>
      </w:r>
      <w:r>
        <w:t xml:space="preserve"> </w:t>
      </w:r>
      <w:r>
        <w:t xml:space="preserve">the ArcGIS 2021 fold, the minimum-change action permits 278 moves against 3,241</w:t>
      </w:r>
      <w:r>
        <w:t xml:space="preserve"> </w:t>
      </w:r>
      <w:r>
        <w:t xml:space="preserve">observed changes, bounding strict FoM at 0.0858 even before destination or</w:t>
      </w:r>
      <w:r>
        <w:t xml:space="preserve"> </w:t>
      </w:r>
      <w:r>
        <w:t xml:space="preserve">hard-mask restrictions. In 2022, 6,864 permitted moves against 8,446 observed</w:t>
      </w:r>
      <w:r>
        <w:t xml:space="preserve"> </w:t>
      </w:r>
      <w:r>
        <w:t xml:space="preserve">changes give a much higher bound of 0.8127. The corresponding Dynamic World</w:t>
      </w:r>
      <w:r>
        <w:t xml:space="preserve"> </w:t>
      </w:r>
      <w:r>
        <w:t xml:space="preserve">bounds are 0.4590 and 0.2885. All nine fold bounds and observed scores are</w:t>
      </w:r>
      <w:r>
        <w:t xml:space="preserve"> </w:t>
      </w:r>
      <w:r>
        <w:t xml:space="preserve">reported in Supplementary Table S7. Across all ArcGIS folds the bound spans</w:t>
      </w:r>
      <w:r>
        <w:t xml:space="preserve"> </w:t>
      </w:r>
      <w:r>
        <w:t xml:space="preserve">0.0858–0.8127, but excluding the 2022 series-break target it spans only</w:t>
      </w:r>
      <w:r>
        <w:t xml:space="preserve"> </w:t>
      </w:r>
      <w:r>
        <w:t xml:space="preserve">0.0858–0.6651. The reversal in these bounds means that</w:t>
      </w:r>
      <w:r>
        <w:t xml:space="preserve"> </w:t>
      </w:r>
      <w:r>
        <w:t xml:space="preserve">cross-product FoM differences combine allocation skill with the relationship</w:t>
      </w:r>
      <w:r>
        <w:t xml:space="preserve"> </w:t>
      </w:r>
      <w:r>
        <w:t xml:space="preserve">between net and gross product change. It does not identify which product is</w:t>
      </w:r>
      <w:r>
        <w:t xml:space="preserve"> </w:t>
      </w:r>
      <w:r>
        <w:t xml:space="preserve">more accurate. Supplementary Table S7 also shows that FLUS already permits</w:t>
      </w:r>
      <w:r>
        <w:t xml:space="preserve"> </w:t>
      </w:r>
      <w:r>
        <w:t xml:space="preserve">simultaneous class inflows and outflows: its altered-cell totals span 1.1–24.7</w:t>
      </w:r>
      <w:r>
        <w:t xml:space="preserve"> </w:t>
      </w:r>
      <w:r>
        <w:t xml:space="preserve">times M across the ArcGIS folds. The bounds therefore do not explain its 2021</w:t>
      </w:r>
      <w:r>
        <w:t xml:space="preserve"> </w:t>
      </w:r>
      <w:r>
        <w:t xml:space="preserve">mean or constrain its FoM.</w:t>
      </w:r>
    </w:p>
    <w:p>
      <w:pPr>
        <w:pStyle w:val="BodyText"/>
      </w:pPr>
      <w:r>
        <w:t xml:space="preserve">Frontier membership was more stable than the historical numerical ranking. Recomputing</w:t>
      </w:r>
      <w:r>
        <w:t xml:space="preserve"> </w:t>
      </w:r>
      <w:r>
        <w:t xml:space="preserve">the same three-objective Pareto rule on each product-specific 2031 scenario</w:t>
      </w:r>
      <w:r>
        <w:t xml:space="preserve"> </w:t>
      </w:r>
      <w:r>
        <w:t xml:space="preserve">bundle retained FLUS-style and Kernel candidates, and excluded GeoFM-LDN, in</w:t>
      </w:r>
      <w:r>
        <w:t xml:space="preserve"> </w:t>
      </w:r>
      <w:r>
        <w:t xml:space="preserve">all three scenarios. This does not validate either future bundle; it shows only</w:t>
      </w:r>
      <w:r>
        <w:t xml:space="preserve"> </w:t>
      </w:r>
      <w:r>
        <w:t xml:space="preserve">that frontier membership was insensitive to this particular public-product</w:t>
      </w:r>
      <w:r>
        <w:t xml:space="preserve"> </w:t>
      </w:r>
      <w:r>
        <w:t xml:space="preserve">replacement under the released proxy objectives. The retained candidates trade</w:t>
      </w:r>
      <w:r>
        <w:t xml:space="preserve"> </w:t>
      </w:r>
      <w:r>
        <w:t xml:space="preserve">off different objectives after product replacement: in every ArcGIS scenario,</w:t>
      </w:r>
      <w:r>
        <w:t xml:space="preserve"> </w:t>
      </w:r>
      <w:r>
        <w:t xml:space="preserve">FLUS has lower mean major-road distance and lower union-built component density,</w:t>
      </w:r>
      <w:r>
        <w:t xml:space="preserve"> </w:t>
      </w:r>
      <w:r>
        <w:t xml:space="preserve">whereas Kernel has lower mean distance to pre-existing built cells (Supplementary</w:t>
      </w:r>
      <w:r>
        <w:t xml:space="preserve"> </w:t>
      </w:r>
      <w:r>
        <w:t xml:space="preserve">Table S1). Identical membership among three candidates therefore does not</w:t>
      </w:r>
      <w:r>
        <w:t xml:space="preserve"> </w:t>
      </w:r>
      <w:r>
        <w:t xml:space="preserve">establish spatial agreement, stable objective profiles or planning benefits.</w:t>
      </w:r>
      <w:r>
        <w:t xml:space="preserve"> </w:t>
      </w:r>
      <w:r>
        <w:t xml:space="preserve">Product-specific origins, horizons and actions also differ; this is not a</w:t>
      </w:r>
      <w:r>
        <w:t xml:space="preserve"> </w:t>
      </w:r>
      <w:r>
        <w:t xml:space="preserve">controlled experiment holding demand and initial conditions fixed. Fig. 4 separates changes in</w:t>
      </w:r>
      <w:r>
        <w:t xml:space="preserve"> </w:t>
      </w:r>
      <w:r>
        <w:t xml:space="preserve">mapped stock, same-year product agreement, ArcGIS-served historical skill and</w:t>
      </w:r>
      <w:r>
        <w:t xml:space="preserve"> </w:t>
      </w:r>
      <w:r>
        <w:t xml:space="preserve">the matched product difference.</w:t>
      </w:r>
    </w:p>
    <w:p>
      <w:pPr>
        <w:pStyle w:val="CaptionedFigure"/>
        <w:keepNext/>
      </w:pPr>
      <w:r>
        <w:drawing>
          <wp:inline>
            <wp:extent cx="5334000" cy="4480708"/>
            <wp:effectExtent b="0" l="0" r="0" t="0"/>
            <wp:docPr descr="Land-cover product robustness. Panel A compares annual mapped built area; the dashed line marks the apparent 2021–2022 ArcGIS class-composition break, not a verified city-change event. Only the ArcGIS-served Impact Observatory/Microsoft/Esri series extends to 2025. Panel B reports same-year all-class agreement and built-class intersection over union after six-class harmonization at 100 m. Panel C reports strict destination-change FoM for the ArcGIS-served expanding-window backtest; points are three-seed means and whiskers are population standard deviations. Panel D gives the ArcGIS-served-minus-Dynamic World mean FoM for the four matched one-step targets. All models omit the later road snapshot. Product-specific labels, origin states, oracle totals, origin water/wetland masks and quality semantics are retained, so this is a whole-product-pipeline test rather than authoritative validation. Source data are provided in source_data_fig04_product_robustness.csv." title="" id="35" name="Picture"/>
            <a:graphic>
              <a:graphicData uri="http://schemas.openxmlformats.org/drawingml/2006/picture">
                <pic:pic>
                  <pic:nvPicPr>
                    <pic:cNvPr descr="figures/fig04_product_robustness.png" id="36" name="Picture"/>
                    <pic:cNvPicPr>
                      <a:picLocks noChangeArrowheads="1" noChangeAspect="1"/>
                    </pic:cNvPicPr>
                  </pic:nvPicPr>
                  <pic:blipFill>
                    <a:blip r:embed="rId34"/>
                    <a:stretch>
                      <a:fillRect/>
                    </a:stretch>
                  </pic:blipFill>
                  <pic:spPr bwMode="auto">
                    <a:xfrm>
                      <a:off x="0" y="0"/>
                      <a:ext cx="5334000" cy="4480708"/>
                    </a:xfrm>
                    <a:prstGeom prst="rect">
                      <a:avLst/>
                    </a:prstGeom>
                    <a:noFill/>
                    <a:ln w="9525">
                      <a:noFill/>
                      <a:headEnd/>
                      <a:tailEnd/>
                    </a:ln>
                  </pic:spPr>
                </pic:pic>
              </a:graphicData>
            </a:graphic>
          </wp:inline>
        </w:drawing>
      </w:r>
    </w:p>
    <w:p>
      <w:pPr>
        <w:pStyle w:val="ImageCaption"/>
        <w:keepLines/>
      </w:pPr>
      <w:r>
        <w:t>Figure 4. Land-cover product robustness. Panel A compares annual mapped built area; the dashed line marks the apparent 2021–2022 ArcGIS class-composition break, not a verified city-change event. Only the ArcGIS-served Impact Observatory/Microsoft/Esri series extends to 2025. Panel B reports same-year all-class agreement and built-class intersection over union after six-class harmonization at 100 m. Panel C reports strict destination-change FoM for the ArcGIS-served expanding-window backtest; points are three-seed means and whiskers are population standard deviations. Panel D gives the ArcGIS-served-minus-Dynamic World mean FoM for the four matched one-step targets. All models omit the later road snapshot. Product-specific labels, origin states, oracle totals, origin water/wetland masks and quality semantics are retained, so this is a whole-product-pipeline test rather than authoritative validation. Source data are provided in source_data_fig04_product_robustness.csv.</w:t>
      </w:r>
    </w:p>
    <w:p>
      <w:pPr>
        <w:pStyle w:val="BodyText"/>
      </w:pPr>
      <w:r>
        <w:t xml:space="preserve">The planning compiler compares the three models within each of the three</w:t>
      </w:r>
      <w:r>
        <w:t xml:space="preserve"> </w:t>
      </w:r>
      <w:r>
        <w:t xml:space="preserve">scenarios. At 2031, the FLUS-style control has union-built component densities of</w:t>
      </w:r>
      <w:r>
        <w:t xml:space="preserve"> </w:t>
      </w:r>
      <w:r>
        <w:t xml:space="preserve">2.48–3.27 per 1,000 valid cells, the Kernel 2.92–4.28 and GeoFM-LDN 3.21–4.35.</w:t>
      </w:r>
      <w:r>
        <w:t xml:space="preserve"> </w:t>
      </w:r>
      <w:r>
        <w:t xml:space="preserve">The Kernel is closer to major roads and prior built cells, whereas the union</w:t>
      </w:r>
      <w:r>
        <w:t xml:space="preserve"> </w:t>
      </w:r>
      <w:r>
        <w:t xml:space="preserve">metric shows that this edge-filling pattern does not automatically imply lower</w:t>
      </w:r>
      <w:r>
        <w:t xml:space="preserve"> </w:t>
      </w:r>
      <w:r>
        <w:t xml:space="preserve">overall fragmentation than the FLUS-style allocations. Under the release</w:t>
      </w:r>
      <w:r>
        <w:t xml:space="preserve"> </w:t>
      </w:r>
      <w:r>
        <w:t xml:space="preserve">objective set, the within-scenario frontiers contain FLUS-style and Kernel</w:t>
      </w:r>
      <w:r>
        <w:t xml:space="preserve"> </w:t>
      </w:r>
      <w:r>
        <w:t xml:space="preserve">candidates in all three scenarios; GeoFM-LDN is dominated in each scenario.</w:t>
      </w:r>
      <w:r>
        <w:t xml:space="preserve"> </w:t>
      </w:r>
      <w:r>
        <w:t xml:space="preserve">In the preceding v5 formulation, GeoFM-LDN could appear non-dominated only</w:t>
      </w:r>
      <w:r>
        <w:t xml:space="preserve"> </w:t>
      </w:r>
      <w:r>
        <w:t xml:space="preserve">because its ecological-conversion value was the same structural zero as the</w:t>
      </w:r>
      <w:r>
        <w:t xml:space="preserve"> </w:t>
      </w:r>
      <w:r>
        <w:t xml:space="preserve">exact-count Kernel; that zero is not a model advantage. Ecological conversion</w:t>
      </w:r>
      <w:r>
        <w:t xml:space="preserve"> </w:t>
      </w:r>
      <w:r>
        <w:t xml:space="preserve">is therefore retained only as a diagnostic in v6. All sensitivity variants</w:t>
      </w:r>
      <w:r>
        <w:t xml:space="preserve"> </w:t>
      </w:r>
      <w:r>
        <w:t xml:space="preserve">retain the same FLUS-style/Kernel two-model frontier. These statements are</w:t>
      </w:r>
      <w:r>
        <w:t xml:space="preserve"> </w:t>
      </w:r>
      <w:r>
        <w:t xml:space="preserve">conditional on public proxy layers and synthetic actions, not model superiority</w:t>
      </w:r>
      <w:r>
        <w:t xml:space="preserve"> </w:t>
      </w:r>
      <w:r>
        <w:t xml:space="preserve">claims.</w:t>
      </w:r>
      <w:r>
        <w:t xml:space="preserve"> </w:t>
      </w:r>
      <w:r>
        <w:t xml:space="preserve">The ArcGIS-origin bundle does not preserve the same objective ordering. In its</w:t>
      </w:r>
      <w:r>
        <w:t xml:space="preserve"> </w:t>
      </w:r>
      <w:r>
        <w:t xml:space="preserve">three scenarios, FLUS-style ANN–CA has lower mean distance to major roads</w:t>
      </w:r>
      <w:r>
        <w:t xml:space="preserve"> </w:t>
      </w:r>
      <w:r>
        <w:t xml:space="preserve">(368/366/389 m) and lower union-built component density (0.731/0.798/0.631 per</w:t>
      </w:r>
      <w:r>
        <w:t xml:space="preserve"> </w:t>
      </w:r>
      <w:r>
        <w:t xml:space="preserve">1,000 cells), whereas Kernel has lower mean distance to pre-existing built</w:t>
      </w:r>
      <w:r>
        <w:t xml:space="preserve"> </w:t>
      </w:r>
      <w:r>
        <w:t xml:space="preserve">cells (119/113/155 m; Supplementary Table S1). Thus the two retained frontier</w:t>
      </w:r>
      <w:r>
        <w:t xml:space="preserve"> </w:t>
      </w:r>
      <w:r>
        <w:t xml:space="preserve">members are stable as a set, but the dimension supporting each member changes</w:t>
      </w:r>
      <w:r>
        <w:t xml:space="preserve"> </w:t>
      </w:r>
      <w:r>
        <w:t xml:space="preserve">when the product-specific origin and actions change.</w:t>
      </w:r>
      <w:r>
        <w:t xml:space="preserve"> </w:t>
      </w:r>
      <w:r>
        <w:t xml:space="preserve">The corresponding objective profiles and diagnostic trade-offs are shown in</w:t>
      </w:r>
      <w:r>
        <w:t xml:space="preserve"> </w:t>
      </w:r>
      <w:r>
        <w:t xml:space="preserve">Fig. 5.</w:t>
      </w:r>
    </w:p>
    <w:p>
      <w:pPr>
        <w:pStyle w:val="CaptionedFigure"/>
        <w:keepNext/>
      </w:pPr>
      <w:r>
        <w:drawing>
          <wp:inline>
            <wp:extent cx="5334000" cy="2431159"/>
            <wp:effectExtent b="0" l="0" r="0" t="0"/>
            <wp:docPr descr="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 title="" id="38" name="Picture"/>
            <a:graphic>
              <a:graphicData uri="http://schemas.openxmlformats.org/drawingml/2006/picture">
                <pic:pic>
                  <pic:nvPicPr>
                    <pic:cNvPr descr="figures/fig05_planning_objectives.png" id="39" name="Picture"/>
                    <pic:cNvPicPr>
                      <a:picLocks noChangeArrowheads="1" noChangeAspect="1"/>
                    </pic:cNvPicPr>
                  </pic:nvPicPr>
                  <pic:blipFill>
                    <a:blip r:embed="rId37"/>
                    <a:stretch>
                      <a:fillRect/>
                    </a:stretch>
                  </pic:blipFill>
                  <pic:spPr bwMode="auto">
                    <a:xfrm>
                      <a:off x="0" y="0"/>
                      <a:ext cx="5334000" cy="2431159"/>
                    </a:xfrm>
                    <a:prstGeom prst="rect">
                      <a:avLst/>
                    </a:prstGeom>
                    <a:noFill/>
                    <a:ln w="9525">
                      <a:noFill/>
                      <a:headEnd/>
                      <a:tailEnd/>
                    </a:ln>
                  </pic:spPr>
                </pic:pic>
              </a:graphicData>
            </a:graphic>
          </wp:inline>
        </w:drawing>
      </w:r>
    </w:p>
    <w:p>
      <w:pPr>
        <w:pStyle w:val="ImageCaption"/>
        <w:keepLines/>
      </w:pPr>
      <w:r>
        <w:t>Figure 5. 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w:t>
      </w:r>
    </w:p>
    <w:p>
      <w:pPr>
        <w:pStyle w:val="BodyText"/>
      </w:pPr>
      <w:r>
        <w:rPr>
          <w:b/>
          <w:bCs/>
        </w:rPr>
        <w:t xml:space="preserve">Table 2. 2031 within-scenario planning objectives.</w:t>
      </w:r>
      <w:r>
        <w:t xml:space="preserve"> </w:t>
      </w:r>
      <w:r>
        <w:t xml:space="preserve">Values are means across</w:t>
      </w:r>
      <w:r>
        <w:t xml:space="preserve"> </w:t>
      </w:r>
      <w:r>
        <w:t xml:space="preserve">three seeds. Road and pre-existing-built distances are in metres; components are</w:t>
      </w:r>
      <w:r>
        <w:t xml:space="preserve"> </w:t>
      </w:r>
      <w:r>
        <w:t xml:space="preserve">the number in the combined 2024-built and newly built footprint per 1,000 valid</w:t>
      </w:r>
      <w:r>
        <w:t xml:space="preserve"> </w:t>
      </w:r>
      <w:r>
        <w:t xml:space="preserve">cells. Ecological conversion is a descriptive fraction of new-built cells whose</w:t>
      </w:r>
      <w:r>
        <w:t xml:space="preserve"> </w:t>
      </w:r>
      <w:r>
        <w:t xml:space="preserve">origin was woody vegetation, low vegetation or wetland. Asterisks indicate the</w:t>
      </w:r>
      <w:r>
        <w:t xml:space="preserve"> </w:t>
      </w:r>
      <w:r>
        <w:t xml:space="preserve">primary within-scenario Pareto frontier.</w:t>
      </w:r>
    </w:p>
    <w:tbl>
      <w:tblPr>
        <w:tblStyle w:val="Table"/>
        <w:tblW w:type="pct" w:w="5000"/>
        <w:tblLayout w:type="fixed"/>
        <w:tblLook w:firstRow="1" w:lastRow="0" w:firstColumn="0" w:lastColumn="0" w:noHBand="0" w:noVBand="0" w:val="0020"/>
      </w:tblPr>
      <w:tblGrid>
        <w:gridCol w:w="1267"/>
        <w:gridCol w:w="1267"/>
        <w:gridCol w:w="1267"/>
        <w:gridCol w:w="1267"/>
        <w:gridCol w:w="1267"/>
        <w:gridCol w:w="1584"/>
      </w:tblGrid>
      <w:tr>
        <w:trPr>
          <w:tblHeader w:val="on"/>
        </w:trPr>
        <w:tc>
          <w:tcPr/>
          <w:p>
            <w:pPr>
              <w:pStyle w:val="Compact"/>
              <w:jc w:val="left"/>
            </w:pPr>
            <w:r>
              <w:t xml:space="preserve">Scenario / model</w:t>
            </w:r>
          </w:p>
        </w:tc>
        <w:tc>
          <w:tcPr/>
          <w:p>
            <w:pPr>
              <w:pStyle w:val="Compact"/>
              <w:jc w:val="right"/>
            </w:pPr>
            <w:r>
              <w:t xml:space="preserve">Road (m)</w:t>
            </w:r>
          </w:p>
        </w:tc>
        <w:tc>
          <w:tcPr/>
          <w:p>
            <w:pPr>
              <w:pStyle w:val="Compact"/>
              <w:jc w:val="right"/>
            </w:pPr>
            <w:r>
              <w:t xml:space="preserve">Prior built (m)</w:t>
            </w:r>
          </w:p>
        </w:tc>
        <w:tc>
          <w:tcPr/>
          <w:p>
            <w:pPr>
              <w:pStyle w:val="Compact"/>
              <w:jc w:val="right"/>
            </w:pPr>
            <w:r>
              <w:t xml:space="preserve">Components / 1,000</w:t>
            </w:r>
          </w:p>
        </w:tc>
        <w:tc>
          <w:tcPr/>
          <w:p>
            <w:pPr>
              <w:pStyle w:val="Compact"/>
              <w:jc w:val="right"/>
            </w:pPr>
            <w:r>
              <w:t xml:space="preserve">Ecology*</w:t>
            </w:r>
          </w:p>
        </w:tc>
        <w:tc>
          <w:tcPr/>
          <w:p>
            <w:pPr>
              <w:pStyle w:val="Compact"/>
              <w:jc w:val="center"/>
            </w:pPr>
            <w:r>
              <w:t xml:space="preserve">Frontier</w:t>
            </w:r>
          </w:p>
        </w:tc>
      </w:tr>
      <w:tr>
        <w:tc>
          <w:tcPr/>
          <w:p>
            <w:pPr>
              <w:pStyle w:val="Compact"/>
              <w:jc w:val="left"/>
            </w:pPr>
            <w:r>
              <w:rPr>
                <w:b/>
                <w:bCs/>
              </w:rPr>
              <w:t xml:space="preserve">Moderate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446.1</w:t>
            </w:r>
          </w:p>
        </w:tc>
        <w:tc>
          <w:tcPr/>
          <w:p>
            <w:pPr>
              <w:pStyle w:val="Compact"/>
              <w:jc w:val="right"/>
            </w:pPr>
            <w:r>
              <w:t xml:space="preserve">231.6</w:t>
            </w:r>
          </w:p>
        </w:tc>
        <w:tc>
          <w:tcPr/>
          <w:p>
            <w:pPr>
              <w:pStyle w:val="Compact"/>
              <w:jc w:val="right"/>
            </w:pPr>
            <w:r>
              <w:t xml:space="preserve">3.035</w:t>
            </w:r>
          </w:p>
        </w:tc>
        <w:tc>
          <w:tcPr/>
          <w:p>
            <w:pPr>
              <w:pStyle w:val="Compact"/>
              <w:jc w:val="right"/>
            </w:pPr>
            <w:r>
              <w:t xml:space="preserve">0.0168</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334.7</w:t>
            </w:r>
          </w:p>
        </w:tc>
        <w:tc>
          <w:tcPr/>
          <w:p>
            <w:pPr>
              <w:pStyle w:val="Compact"/>
              <w:jc w:val="right"/>
            </w:pPr>
            <w:r>
              <w:t xml:space="preserve">116.7</w:t>
            </w:r>
          </w:p>
        </w:tc>
        <w:tc>
          <w:tcPr/>
          <w:p>
            <w:pPr>
              <w:pStyle w:val="Compact"/>
              <w:jc w:val="right"/>
            </w:pPr>
            <w:r>
              <w:t xml:space="preserve">3.943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475.9</w:t>
            </w:r>
          </w:p>
        </w:tc>
        <w:tc>
          <w:tcPr/>
          <w:p>
            <w:pPr>
              <w:pStyle w:val="Compact"/>
              <w:jc w:val="right"/>
            </w:pPr>
            <w:r>
              <w:t xml:space="preserve">239.7</w:t>
            </w:r>
          </w:p>
        </w:tc>
        <w:tc>
          <w:tcPr/>
          <w:p>
            <w:pPr>
              <w:pStyle w:val="Compact"/>
              <w:jc w:val="right"/>
            </w:pPr>
            <w:r>
              <w:t xml:space="preserve">4.056</w:t>
            </w:r>
          </w:p>
        </w:tc>
        <w:tc>
          <w:tcPr/>
          <w:p>
            <w:pPr>
              <w:pStyle w:val="Compact"/>
              <w:jc w:val="right"/>
            </w:pPr>
            <w:r>
              <w:t xml:space="preserve">0.0000</w:t>
            </w:r>
          </w:p>
        </w:tc>
        <w:tc>
          <w:tcPr/>
          <w:p>
            <w:pPr>
              <w:pStyle w:val="Compact"/>
            </w:pPr>
          </w:p>
        </w:tc>
      </w:tr>
      <w:tr>
        <w:tc>
          <w:tcPr/>
          <w:p>
            <w:pPr>
              <w:pStyle w:val="Compact"/>
              <w:jc w:val="left"/>
            </w:pPr>
            <w:r>
              <w:rPr>
                <w:b/>
                <w:bCs/>
              </w:rPr>
              <w:t xml:space="preserve">Green priority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443.7</w:t>
            </w:r>
          </w:p>
        </w:tc>
        <w:tc>
          <w:tcPr/>
          <w:p>
            <w:pPr>
              <w:pStyle w:val="Compact"/>
              <w:jc w:val="right"/>
            </w:pPr>
            <w:r>
              <w:t xml:space="preserve">212.7</w:t>
            </w:r>
          </w:p>
        </w:tc>
        <w:tc>
          <w:tcPr/>
          <w:p>
            <w:pPr>
              <w:pStyle w:val="Compact"/>
              <w:jc w:val="right"/>
            </w:pPr>
            <w:r>
              <w:t xml:space="preserve">3.265</w:t>
            </w:r>
          </w:p>
        </w:tc>
        <w:tc>
          <w:tcPr/>
          <w:p>
            <w:pPr>
              <w:pStyle w:val="Compact"/>
              <w:jc w:val="right"/>
            </w:pPr>
            <w:r>
              <w:t xml:space="preserve">0.0177</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323.1</w:t>
            </w:r>
          </w:p>
        </w:tc>
        <w:tc>
          <w:tcPr/>
          <w:p>
            <w:pPr>
              <w:pStyle w:val="Compact"/>
              <w:jc w:val="right"/>
            </w:pPr>
            <w:r>
              <w:t xml:space="preserve">111.0</w:t>
            </w:r>
          </w:p>
        </w:tc>
        <w:tc>
          <w:tcPr/>
          <w:p>
            <w:pPr>
              <w:pStyle w:val="Compact"/>
              <w:jc w:val="right"/>
            </w:pPr>
            <w:r>
              <w:t xml:space="preserve">4.277</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452.1</w:t>
            </w:r>
          </w:p>
        </w:tc>
        <w:tc>
          <w:tcPr/>
          <w:p>
            <w:pPr>
              <w:pStyle w:val="Compact"/>
              <w:jc w:val="right"/>
            </w:pPr>
            <w:r>
              <w:t xml:space="preserve">222.3</w:t>
            </w:r>
          </w:p>
        </w:tc>
        <w:tc>
          <w:tcPr/>
          <w:p>
            <w:pPr>
              <w:pStyle w:val="Compact"/>
              <w:jc w:val="right"/>
            </w:pPr>
            <w:r>
              <w:t xml:space="preserve">4.348</w:t>
            </w:r>
          </w:p>
        </w:tc>
        <w:tc>
          <w:tcPr/>
          <w:p>
            <w:pPr>
              <w:pStyle w:val="Compact"/>
              <w:jc w:val="right"/>
            </w:pPr>
            <w:r>
              <w:t xml:space="preserve">0.0000</w:t>
            </w:r>
          </w:p>
        </w:tc>
        <w:tc>
          <w:tcPr/>
          <w:p>
            <w:pPr>
              <w:pStyle w:val="Compact"/>
            </w:pPr>
          </w:p>
        </w:tc>
      </w:tr>
      <w:tr>
        <w:tc>
          <w:tcPr/>
          <w:p>
            <w:pPr>
              <w:pStyle w:val="Compact"/>
              <w:jc w:val="left"/>
            </w:pPr>
            <w:r>
              <w:rPr>
                <w:b/>
                <w:bCs/>
              </w:rPr>
              <w:t xml:space="preserve">High outward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443.5</w:t>
            </w:r>
          </w:p>
        </w:tc>
        <w:tc>
          <w:tcPr/>
          <w:p>
            <w:pPr>
              <w:pStyle w:val="Compact"/>
              <w:jc w:val="right"/>
            </w:pPr>
            <w:r>
              <w:t xml:space="preserve">255.3</w:t>
            </w:r>
          </w:p>
        </w:tc>
        <w:tc>
          <w:tcPr/>
          <w:p>
            <w:pPr>
              <w:pStyle w:val="Compact"/>
              <w:jc w:val="right"/>
            </w:pPr>
            <w:r>
              <w:t xml:space="preserve">2.484</w:t>
            </w:r>
          </w:p>
        </w:tc>
        <w:tc>
          <w:tcPr/>
          <w:p>
            <w:pPr>
              <w:pStyle w:val="Compact"/>
              <w:jc w:val="right"/>
            </w:pPr>
            <w:r>
              <w:t xml:space="preserve">0.0131</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365.5</w:t>
            </w:r>
          </w:p>
        </w:tc>
        <w:tc>
          <w:tcPr/>
          <w:p>
            <w:pPr>
              <w:pStyle w:val="Compact"/>
              <w:jc w:val="right"/>
            </w:pPr>
            <w:r>
              <w:t xml:space="preserve">139.8</w:t>
            </w:r>
          </w:p>
        </w:tc>
        <w:tc>
          <w:tcPr/>
          <w:p>
            <w:pPr>
              <w:pStyle w:val="Compact"/>
              <w:jc w:val="right"/>
            </w:pPr>
            <w:r>
              <w:t xml:space="preserve">2.923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507.5</w:t>
            </w:r>
          </w:p>
        </w:tc>
        <w:tc>
          <w:tcPr/>
          <w:p>
            <w:pPr>
              <w:pStyle w:val="Compact"/>
              <w:jc w:val="right"/>
            </w:pPr>
            <w:r>
              <w:t xml:space="preserve">263.0</w:t>
            </w:r>
          </w:p>
        </w:tc>
        <w:tc>
          <w:tcPr/>
          <w:p>
            <w:pPr>
              <w:pStyle w:val="Compact"/>
              <w:jc w:val="right"/>
            </w:pPr>
            <w:r>
              <w:t xml:space="preserve">3.207</w:t>
            </w:r>
          </w:p>
        </w:tc>
        <w:tc>
          <w:tcPr/>
          <w:p>
            <w:pPr>
              <w:pStyle w:val="Compact"/>
              <w:jc w:val="right"/>
            </w:pPr>
            <w:r>
              <w:t xml:space="preserve">0.0000</w:t>
            </w:r>
          </w:p>
        </w:tc>
        <w:tc>
          <w:tcPr/>
          <w:p>
            <w:pPr>
              <w:pStyle w:val="Compact"/>
            </w:pPr>
          </w:p>
        </w:tc>
      </w:tr>
    </w:tbl>
    <w:bookmarkEnd w:id="40"/>
    <w:bookmarkStart w:id="41"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 Fig. 6A shows focused proposal controls, and Fig. 6B reports the matched runtime controls.</w:t>
      </w:r>
    </w:p>
    <w:p>
      <w:pPr>
        <w:pStyle w:val="BodyText"/>
      </w:pPr>
      <w:r>
        <w:t xml:space="preserve">In the post-hoc neighbourhood-weight sensitivity, mean strict FoM ranged from</w:t>
      </w:r>
      <w:r>
        <w:t xml:space="preserve"> </w:t>
      </w:r>
      <w:r>
        <w:t xml:space="preserve">0.19570 to 0.19609 in 2023 and from 0.25273 to 0.25304 in 2024; the complete</w:t>
      </w:r>
      <w:r>
        <w:t xml:space="preserve"> </w:t>
      </w:r>
      <w:r>
        <w:t xml:space="preserve">strict-evaluator scan is provided in Supplementary Table S2. These changes are small relative</w:t>
      </w:r>
      <w:r>
        <w:t xml:space="preserve"> </w:t>
      </w:r>
      <w:r>
        <w:t xml:space="preserve">to the model contrasts and are not interpreted causally. Objective-set</w:t>
      </w:r>
      <w:r>
        <w:t xml:space="preserve"> </w:t>
      </w:r>
      <w:r>
        <w:t xml:space="preserve">sensitivity on the planning rasters retained the FLUS-style and Kernel</w:t>
      </w:r>
      <w:r>
        <w:t xml:space="preserve"> </w:t>
      </w:r>
      <w:r>
        <w:t xml:space="preserve">candidates in all scenarios. GeoFM-LDN was dominated in all three scenarios</w:t>
      </w:r>
      <w:r>
        <w:t xml:space="preserve"> </w:t>
      </w:r>
      <w:r>
        <w:t xml:space="preserve">after the structurally zero ecological-conversion term was removed from the</w:t>
      </w:r>
      <w:r>
        <w:t xml:space="preserve"> </w:t>
      </w:r>
      <w:r>
        <w:t xml:space="preserve">release objectives.</w:t>
      </w:r>
    </w:p>
    <w:bookmarkEnd w:id="41"/>
    <w:bookmarkStart w:id="45" w:name="Xb4da06261b5a2056ba43f7c28dc24c9379bfe9e"/>
    <w:p>
      <w:pPr>
        <w:pStyle w:val="Heading3"/>
      </w:pPr>
      <w:r>
        <w:t xml:space="preserve">Mechanism controls separate learned proposal from runtime projection</w:t>
      </w:r>
    </w:p>
    <w:p>
      <w:pPr>
        <w:pStyle w:val="FirstParagraph"/>
      </w:pPr>
      <w:r>
        <w:t xml:space="preserve">Mechanism controls separate the learned proposal from runtime projection, hard</w:t>
      </w:r>
      <w:r>
        <w:t xml:space="preserve"> </w:t>
      </w:r>
      <w:r>
        <w:t xml:space="preserve">constraints and recursive writeback. They are not causal policy experiments.</w:t>
      </w:r>
      <w:r>
        <w:t xml:space="preserve"> </w:t>
      </w:r>
      <w:r>
        <w:t xml:space="preserve">Deleting the action reduces mean strict FoM by 0.1124 in 2023 and 0.1699 in</w:t>
      </w:r>
      <w:r>
        <w:t xml:space="preserve"> </w:t>
      </w:r>
      <w:r>
        <w:t xml:space="preserve">2024, whereas deleting the hard constraint increases it by 0.014 and 0.011,</w:t>
      </w:r>
      <w:r>
        <w:t xml:space="preserve"> </w:t>
      </w:r>
      <w:r>
        <w:t xml:space="preserve">respectively. The former is expected because the historical task supplies</w:t>
      </w:r>
      <w:r>
        <w:t xml:space="preserve"> </w:t>
      </w:r>
      <w:r>
        <w:t xml:space="preserve">oracle target counts; it shows that much of the measured skill belongs to the</w:t>
      </w:r>
      <w:r>
        <w:t xml:space="preserve"> </w:t>
      </w:r>
      <w:r>
        <w:t xml:space="preserve">action-conditioned allocator rather than to a demand forecast. The latter is</w:t>
      </w:r>
      <w:r>
        <w:t xml:space="preserve"> </w:t>
      </w:r>
      <w:r>
        <w:t xml:space="preserve">an important warning: allowing changes inside the exclusion mask can improve</w:t>
      </w:r>
      <w:r>
        <w:t xml:space="preserve"> </w:t>
      </w:r>
      <w:r>
        <w:t xml:space="preserve">agreement with noisy labels while violating the planning contract. The</w:t>
      </w:r>
      <w:r>
        <w:t xml:space="preserve"> </w:t>
      </w:r>
      <w:r>
        <w:t xml:space="preserve">controls therefore support an execution-level interpretation but do not prove</w:t>
      </w:r>
      <w:r>
        <w:t xml:space="preserve"> </w:t>
      </w:r>
      <w:r>
        <w:t xml:space="preserve">that either component causes an urban outcome.</w:t>
      </w:r>
    </w:p>
    <w:p>
      <w:pPr>
        <w:pStyle w:val="CaptionedFigure"/>
        <w:keepNext/>
      </w:pPr>
      <w:r>
        <w:drawing>
          <wp:inline>
            <wp:extent cx="5334000" cy="2478180"/>
            <wp:effectExtent b="0" l="0" r="0" t="0"/>
            <wp:docPr descr="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 title="" id="43" name="Picture"/>
            <a:graphic>
              <a:graphicData uri="http://schemas.openxmlformats.org/drawingml/2006/picture">
                <pic:pic>
                  <pic:nvPicPr>
                    <pic:cNvPr descr="figures/fig06_mechanism_ablation.png" id="44" name="Picture"/>
                    <pic:cNvPicPr>
                      <a:picLocks noChangeArrowheads="1" noChangeAspect="1"/>
                    </pic:cNvPicPr>
                  </pic:nvPicPr>
                  <pic:blipFill>
                    <a:blip r:embed="rId42"/>
                    <a:stretch>
                      <a:fillRect/>
                    </a:stretch>
                  </pic:blipFill>
                  <pic:spPr bwMode="auto">
                    <a:xfrm>
                      <a:off x="0" y="0"/>
                      <a:ext cx="5334000" cy="2478180"/>
                    </a:xfrm>
                    <a:prstGeom prst="rect">
                      <a:avLst/>
                    </a:prstGeom>
                    <a:noFill/>
                    <a:ln w="9525">
                      <a:noFill/>
                      <a:headEnd/>
                      <a:tailEnd/>
                    </a:ln>
                  </pic:spPr>
                </pic:pic>
              </a:graphicData>
            </a:graphic>
          </wp:inline>
        </w:drawing>
      </w:r>
    </w:p>
    <w:p>
      <w:pPr>
        <w:pStyle w:val="ImageCaption"/>
        <w:keepLines/>
      </w:pPr>
      <w:r>
        <w:t>Figure 6. 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w:t>
      </w:r>
    </w:p>
    <w:bookmarkEnd w:id="45"/>
    <w:bookmarkStart w:id="49" w:name="Xda759c8571f7c32c55e24e08b791bff6f7b5747"/>
    <w:p>
      <w:pPr>
        <w:pStyle w:val="Heading3"/>
      </w:pPr>
      <w:r>
        <w:t xml:space="preserve">Spatial footprints are scenario-conditioned, not parcel predictions</w:t>
      </w:r>
    </w:p>
    <w:p>
      <w:pPr>
        <w:pStyle w:val="FirstParagraph"/>
      </w:pPr>
      <w:r>
        <w:t xml:space="preserve">The 2031 majority-vote ensemble L1 demand errors were 8, 44 and 42 pixels for</w:t>
      </w:r>
      <w:r>
        <w:t xml:space="preserve"> </w:t>
      </w:r>
      <w:r>
        <w:t xml:space="preserve">the Kernel’s moderate, green-priority and high-outward scenarios, respectively;</w:t>
      </w:r>
      <w:r>
        <w:t xml:space="preserve"> </w:t>
      </w:r>
      <w:r>
        <w:t xml:space="preserve">the corresponding GeoFM-LDN errors were 1,580, 1,524 and 1,148 pixels and the</w:t>
      </w:r>
      <w:r>
        <w:t xml:space="preserve"> </w:t>
      </w:r>
      <w:r>
        <w:t xml:space="preserve">FLUS-style errors were 2,504, 2,888 and 2,568 pixels. Kernel and GeoFM-LDN seed-level projections</w:t>
      </w:r>
      <w:r>
        <w:t xml:space="preserve"> </w:t>
      </w:r>
      <w:r>
        <w:t xml:space="preserve">meet their feasible class totals, whereas the finite-iteration FLUS control can</w:t>
      </w:r>
      <w:r>
        <w:t xml:space="preserve"> </w:t>
      </w:r>
      <w:r>
        <w:t xml:space="preserve">retain demand error. Majority voting can produce a different raster and therefore</w:t>
      </w:r>
      <w:r>
        <w:t xml:space="preserve"> </w:t>
      </w:r>
      <w:r>
        <w:t xml:space="preserve">a non-zero ensemble error even for an exact-count allocator. The constraint-</w:t>
      </w:r>
      <w:r>
        <w:t xml:space="preserve"> </w:t>
      </w:r>
      <w:r>
        <w:t xml:space="preserve">preserving claim applies to individual projected members, not to count preservation</w:t>
      </w:r>
      <w:r>
        <w:t xml:space="preserve"> </w:t>
      </w:r>
      <w:r>
        <w:t xml:space="preserve">in the majority-vote delivery. Those ensembles are descriptive consensus maps.</w:t>
      </w:r>
      <w:r>
        <w:t xml:space="preserve"> </w:t>
      </w:r>
      <w:r>
        <w:t xml:space="preserve">Any use requiring exact totals must select and audit a feasible seed-level member</w:t>
      </w:r>
      <w:r>
        <w:t xml:space="preserve"> </w:t>
      </w:r>
      <w:r>
        <w:t xml:space="preserve">or reproject the consensus, with objective values recomputed on that final map.</w:t>
      </w:r>
      <w:r>
        <w:t xml:space="preserve"> </w:t>
      </w:r>
      <w:r>
        <w:t xml:space="preserve">No such reprojected ensemble is evaluated here. All 312 historical,</w:t>
      </w:r>
      <w:r>
        <w:t xml:space="preserve"> </w:t>
      </w:r>
      <w:r>
        <w:t xml:space="preserve">rolling-origin and planning prediction records passed the raster audit, and the</w:t>
      </w:r>
      <w:r>
        <w:t xml:space="preserve"> </w:t>
      </w:r>
      <w:r>
        <w:t xml:space="preserve">two frozen WorldCover evidence rasters passed the evidence audit. Fig. 7 uses the high-outward</w:t>
      </w:r>
      <w:r>
        <w:t xml:space="preserve"> </w:t>
      </w:r>
      <w:r>
        <w:t xml:space="preserve">scenario to make the spatial contrast legible; the complete nine-panel atlas is</w:t>
      </w:r>
      <w:r>
        <w:t xml:space="preserve"> </w:t>
      </w:r>
      <w:r>
        <w:t xml:space="preserve">provided as Fig. S1. These are raster-cell change footprints, not</w:t>
      </w:r>
      <w:r>
        <w:t xml:space="preserve"> </w:t>
      </w:r>
      <w:r>
        <w:t xml:space="preserve">parcel boundaries or statutory zoning maps.</w:t>
      </w:r>
    </w:p>
    <w:p>
      <w:pPr>
        <w:pStyle w:val="CaptionedFigure"/>
        <w:keepNext/>
      </w:pPr>
      <w:r>
        <w:drawing>
          <wp:inline>
            <wp:extent cx="5334000" cy="4712835"/>
            <wp:effectExtent b="0" l="0" r="0" t="0"/>
            <wp:docPr descr="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 title="" id="47" name="Picture"/>
            <a:graphic>
              <a:graphicData uri="http://schemas.openxmlformats.org/drawingml/2006/picture">
                <pic:pic>
                  <pic:nvPicPr>
                    <pic:cNvPr descr="figures/fig07_planning_maps_2031.png" id="48" name="Picture"/>
                    <pic:cNvPicPr>
                      <a:picLocks noChangeArrowheads="1" noChangeAspect="1"/>
                    </pic:cNvPicPr>
                  </pic:nvPicPr>
                  <pic:blipFill>
                    <a:blip r:embed="rId46"/>
                    <a:stretch>
                      <a:fillRect/>
                    </a:stretch>
                  </pic:blipFill>
                  <pic:spPr bwMode="auto">
                    <a:xfrm>
                      <a:off x="0" y="0"/>
                      <a:ext cx="5334000" cy="4712835"/>
                    </a:xfrm>
                    <a:prstGeom prst="rect">
                      <a:avLst/>
                    </a:prstGeom>
                    <a:noFill/>
                    <a:ln w="9525">
                      <a:noFill/>
                      <a:headEnd/>
                      <a:tailEnd/>
                    </a:ln>
                  </pic:spPr>
                </pic:pic>
              </a:graphicData>
            </a:graphic>
          </wp:inline>
        </w:drawing>
      </w:r>
    </w:p>
    <w:p>
      <w:pPr>
        <w:pStyle w:val="ImageCaption"/>
        <w:keepLines/>
      </w:pPr>
      <w:r>
        <w:t>Figure 7. 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w:t>
      </w:r>
    </w:p>
    <w:bookmarkEnd w:id="49"/>
    <w:bookmarkEnd w:id="50"/>
    <w:bookmarkStart w:id="52" w:name="discussion"/>
    <w:p>
      <w:pPr>
        <w:pStyle w:val="Heading2"/>
      </w:pPr>
      <w:r>
        <w:t xml:space="preserve">Discussion</w:t>
      </w:r>
    </w:p>
    <w:p>
      <w:pPr>
        <w:pStyle w:val="FirstParagraph"/>
      </w:pPr>
      <w:r>
        <w:t xml:space="preserve">This study positions Geospatial Kernel as a candidate execution layer for constrained spatial reasoning and, more broadly, proposes an audit protocol for annual label-product uncertainty. The defensible contribution is that a transition proposal and a planning admission rule can be represented and inspected separately even when the observational product changes. Kernel exceeded the random minimum-change control in every Dynamic World and ArcGIS-served expanding-window fold, but product replacement changed its absolute FoM by as much as 0.244 downward and 0.205 upward and changed which learned model ranked first. The original unmatched 2023–2024 result is therefore supporting evidence, not a universal ordering. By contrast, the released three-objective planning frontiers retained FLUS-style and Kernel candidates across both product-specific scenario bundles. Historical allocation skill and conditional planning-objective membership are different robustness questions; neither is a test of statutory forecast accuracy.</w:t>
      </w:r>
    </w:p>
    <w:p>
      <w:pPr>
        <w:pStyle w:val="BodyText"/>
      </w:pPr>
      <w:r>
        <w:t xml:space="preserve">The WorldCover diagnostic also does not provide blanket external validation: the original Dynamic World-count gain comparison is structurally zero-powered because the observed built count declines. Its count-controlled variant remains near opportunity-level agreement overall: Kernel is below random at 0.05, indistinguishable from random at 0.10–0.20 given three-seed variation, and above random only at 0.30. The low-threshold deficit is consistent with WorldCover’s sparse or road-edge cells just above the 5% built-fraction threshold being inconsistently represented by Dynamic World. Confidence filtering, rolling-window stability, WorldCover agreement and the new complete-product replication test different failure modes. None substitutes for authoritative local validation.</w:t>
      </w:r>
    </w:p>
    <w:p>
      <w:pPr>
        <w:pStyle w:val="BodyText"/>
      </w:pPr>
      <w:r>
        <w:t xml:space="preserve">The evidence remains bounded. The six classes are remote-sensing land cover, not</w:t>
      </w:r>
      <w:r>
        <w:t xml:space="preserve"> </w:t>
      </w:r>
      <w:r>
        <w:t xml:space="preserve">statutory residential, commercial or industrial land use. Dynamic World and the</w:t>
      </w:r>
      <w:r>
        <w:t xml:space="preserve"> </w:t>
      </w:r>
      <w:r>
        <w:t xml:space="preserve">ArcGIS-served series are both global products derived from Sentinel observations;</w:t>
      </w:r>
      <w:r>
        <w:t xml:space="preserve"> </w:t>
      </w:r>
      <w:r>
        <w:t xml:space="preserve">their disagreement does not identify which label is correct. Product-native</w:t>
      </w:r>
      <w:r>
        <w:t xml:space="preserve"> </w:t>
      </w:r>
      <w:r>
        <w:t xml:space="preserve">quality terms and origin-year water/wetland masks also differ, so the replication</w:t>
      </w:r>
      <w:r>
        <w:t xml:space="preserve"> </w:t>
      </w:r>
      <w:r>
        <w:t xml:space="preserve">measures complete pipeline dependence rather than a causal effect of replacing</w:t>
      </w:r>
      <w:r>
        <w:t xml:space="preserve"> </w:t>
      </w:r>
      <w:r>
        <w:t xml:space="preserve">labels alone. The ArcGIS series additionally has a pronounced internal</w:t>
      </w:r>
      <w:r>
        <w:t xml:space="preserve"> </w:t>
      </w:r>
      <w:r>
        <w:t xml:space="preserve">class-composition break between 2021 and 2023, with no published annual</w:t>
      </w:r>
      <w:r>
        <w:t xml:space="preserve"> </w:t>
      </w:r>
      <w:r>
        <w:t xml:space="preserve">model-version history. Its 2022 change prevalence and high GeoFM-LDN FoM may</w:t>
      </w:r>
      <w:r>
        <w:t xml:space="preserve"> </w:t>
      </w:r>
      <w:r>
        <w:t xml:space="preserve">therefore partly score a product reclassification rather than land-cover change;</w:t>
      </w:r>
      <w:r>
        <w:t xml:space="preserve"> </w:t>
      </w:r>
      <w:r>
        <w:t xml:space="preserve">the sparse ArcGIS wetland/woody states also weaken ecological interpretation of</w:t>
      </w:r>
      <w:r>
        <w:t xml:space="preserve"> </w:t>
      </w:r>
      <w:r>
        <w:t xml:space="preserve">the 2025-origin scenario track. The available 2020–2021 WorldCover diagnostic is neither fully</w:t>
      </w:r>
      <w:r>
        <w:t xml:space="preserve"> </w:t>
      </w:r>
      <w:r>
        <w:t xml:space="preserve">independent nor authoritative, and no local reference change sample or observed</w:t>
      </w:r>
      <w:r>
        <w:t xml:space="preserve"> </w:t>
      </w:r>
      <w:r>
        <w:t xml:space="preserve">2026–2031 label exists. The original headline analysis also uses a 31 July 2026 OSM road snapshot,</w:t>
      </w:r>
      <w:r>
        <w:t xml:space="preserve"> </w:t>
      </w:r>
      <w:r>
        <w:t xml:space="preserve">which may contain roads constructed after 2022. Sharing this information does not guarantee an unchanged model ordering,</w:t>
      </w:r>
      <w:r>
        <w:t xml:space="preserve"> </w:t>
      </w:r>
      <w:r>
        <w:t xml:space="preserve">because learners can exploit it differently; the strict rolling-origin analysis removes those road</w:t>
      </w:r>
      <w:r>
        <w:t xml:space="preserve"> </w:t>
      </w:r>
      <w:r>
        <w:t xml:space="preserve">features. This firewall controls downstream target-label use and the late road snapshot; it does not establish that retrospective global products, pretrained embeddings or the static DSM were available to a forecaster at each historical origin. As a descriptive bound,</w:t>
      </w:r>
      <w:r>
        <w:t xml:space="preserve"> </w:t>
      </w:r>
      <w:r>
        <w:t xml:space="preserve">the road-free rolling 2023 one-step FoM is 0.2116, of the same order as the</w:t>
      </w:r>
      <w:r>
        <w:t xml:space="preserve"> </w:t>
      </w:r>
      <w:r>
        <w:t xml:space="preserve">headline 2023 value of 0.1961; these values are not directly comparable because</w:t>
      </w:r>
      <w:r>
        <w:t xml:space="preserve"> </w:t>
      </w:r>
      <w:r>
        <w:t xml:space="preserve">the rolling fit uses 23 features and training through 2022, whereas the headline</w:t>
      </w:r>
      <w:r>
        <w:t xml:space="preserve"> </w:t>
      </w:r>
      <w:r>
        <w:t xml:space="preserve">fit uses 25 features and training through 2021. Public wetland and</w:t>
      </w:r>
      <w:r>
        <w:t xml:space="preserve"> </w:t>
      </w:r>
      <w:r>
        <w:t xml:space="preserve">protected-area layers are proxies, future drivers are held at the respective</w:t>
      </w:r>
      <w:r>
        <w:t xml:space="preserve"> </w:t>
      </w:r>
      <w:r>
        <w:t xml:space="preserve">2024 or 2025 origin-year values, and the</w:t>
      </w:r>
      <w:r>
        <w:t xml:space="preserve"> </w:t>
      </w:r>
      <w:r>
        <w:t xml:space="preserve">green-priority action has no water-budget constraint. The FLUS-style</w:t>
      </w:r>
      <w:r>
        <w:t xml:space="preserve"> </w:t>
      </w:r>
      <w:r>
        <w:t xml:space="preserve">control is an Apple-Silicon binary rebuilt from the public GeoSOS source base</w:t>
      </w:r>
      <w:r>
        <w:t xml:space="preserve"> </w:t>
      </w:r>
      <w:r>
        <w:t xml:space="preserve">with study-specific</w:t>
      </w:r>
      <w:r>
        <w:t xml:space="preserve"> </w:t>
      </w:r>
      <w:r>
        <w:rPr>
          <w:rStyle w:val="VerbatimChar"/>
        </w:rPr>
        <w:t xml:space="preserve">train</w:t>
      </w:r>
      <w:r>
        <w:t xml:space="preserve">/</w:t>
      </w:r>
      <w:r>
        <w:rPr>
          <w:rStyle w:val="VerbatimChar"/>
        </w:rPr>
        <w:t xml:space="preserve">train-update</w:t>
      </w:r>
      <w:r>
        <w:t xml:space="preserve"> </w:t>
      </w:r>
      <w:r>
        <w:t xml:space="preserve">and deterministic-seeding patches;</w:t>
      </w:r>
      <w:r>
        <w:t xml:space="preserve"> </w:t>
      </w:r>
      <w:r>
        <w:t xml:space="preserve">its headline comparison uses seven drivers. It is already a gross-transition</w:t>
      </w:r>
      <w:r>
        <w:t xml:space="preserve"> </w:t>
      </w:r>
      <w:r>
        <w:t xml:space="preserve">allocator: across ArcGIS folds it changes 1.1–24.7 times the exact minimum-change</w:t>
      </w:r>
      <w:r>
        <w:t xml:space="preserve"> </w:t>
      </w:r>
      <w:r>
        <w:t xml:space="preserve">budget while retaining near-zero demand error. This extra transition budget does</w:t>
      </w:r>
      <w:r>
        <w:t xml:space="preserve"> </w:t>
      </w:r>
      <w:r>
        <w:t xml:space="preserve">not itself deliver higher FoM: FLUS is below Kernel on Dynamic World 2021 despite</w:t>
      </w:r>
      <w:r>
        <w:t xml:space="preserve"> </w:t>
      </w:r>
      <w:r>
        <w:t xml:space="preserve">changing 4.4–5.2 times as many cells, and its apparent ArcGIS 2021/2025 mean</w:t>
      </w:r>
      <w:r>
        <w:t xml:space="preserve"> </w:t>
      </w:r>
      <w:r>
        <w:t xml:space="preserve">advantages occur where its seed-specific altered-cell totals are highly variable.</w:t>
      </w:r>
      <w:r>
        <w:t xml:space="preserve"> </w:t>
      </w:r>
      <w:r>
        <w:t xml:space="preserve">The next gross-transition experiment should therefore hold the proposal model,</w:t>
      </w:r>
      <w:r>
        <w:t xml:space="preserve"> </w:t>
      </w:r>
      <w:r>
        <w:t xml:space="preserve">candidate pool and constraints fixed rather than treating the existing FLUS</w:t>
      </w:r>
      <w:r>
        <w:t xml:space="preserve"> </w:t>
      </w:r>
      <w:r>
        <w:t xml:space="preserve">baseline as a direct test of Kernel’s projection. The 25-feature run is a</w:t>
      </w:r>
      <w:r>
        <w:t xml:space="preserve"> </w:t>
      </w:r>
      <w:r>
        <w:t xml:space="preserve">platform-sensitive identity-leakage diagnostic: five of six platform–seed runs</w:t>
      </w:r>
      <w:r>
        <w:t xml:space="preserve"> </w:t>
      </w:r>
      <w:r>
        <w:t xml:space="preserve">collapsed to zero change, so the non-collapsed macOS seed-31 result is not used</w:t>
      </w:r>
      <w:r>
        <w:t xml:space="preserve"> </w:t>
      </w:r>
      <w:r>
        <w:t xml:space="preserve">as a comparative estimate.</w:t>
      </w:r>
      <w:r>
        <w:t xml:space="preserve"> </w:t>
      </w:r>
      <w:r>
        <w:t xml:space="preserve">These public-data stress tests therefore do</w:t>
      </w:r>
      <w:r>
        <w:t xml:space="preserve"> </w:t>
      </w:r>
      <w:r>
        <w:t xml:space="preserve">not establish causal planning effects or a validated Abu Dhabi forecast. An</w:t>
      </w:r>
      <w:r>
        <w:t xml:space="preserve"> </w:t>
      </w:r>
      <w:r>
        <w:t xml:space="preserve">authoritative deployment would replace public labels and masks with locally</w:t>
      </w:r>
      <w:r>
        <w:t xml:space="preserve"> </w:t>
      </w:r>
      <w:r>
        <w:t xml:space="preserve">approved land-use, infrastructure, ecological and development-demand records</w:t>
      </w:r>
      <w:r>
        <w:t xml:space="preserve"> </w:t>
      </w:r>
      <w:r>
        <w:t xml:space="preserve">while retaining the same execution contract.</w:t>
      </w:r>
    </w:p>
    <w:bookmarkStart w:id="51" w:name="Xc747f5f68438c4d1b672214b96bce9a17077e90"/>
    <w:p>
      <w:pPr>
        <w:pStyle w:val="Heading3"/>
      </w:pPr>
      <w:r>
        <w:t xml:space="preserve">Implications for planning use and validation</w:t>
      </w:r>
    </w:p>
    <w:p>
      <w:pPr>
        <w:pStyle w:val="FirstParagraph"/>
      </w:pPr>
      <w:r>
        <w:t xml:space="preserve">The practical role of this protocol is to expose where a public-data scenario</w:t>
      </w:r>
      <w:r>
        <w:t xml:space="preserve"> </w:t>
      </w:r>
      <w:r>
        <w:t xml:space="preserve">depends on observational definitions and allocation restrictions before a</w:t>
      </w:r>
      <w:r>
        <w:t xml:space="preserve"> </w:t>
      </w:r>
      <w:r>
        <w:t xml:space="preserve">planner treats its map as evidence. Stable frontier membership is insufficient</w:t>
      </w:r>
      <w:r>
        <w:t xml:space="preserve"> </w:t>
      </w:r>
      <w:r>
        <w:t xml:space="preserve">for selecting a site or infrastructure corridor: a decision also requires the</w:t>
      </w:r>
      <w:r>
        <w:t xml:space="preserve"> </w:t>
      </w:r>
      <w:r>
        <w:t xml:space="preserve">spatial overlap and disagreement of new-built locations, feasible water and</w:t>
      </w:r>
      <w:r>
        <w:t xml:space="preserve"> </w:t>
      </w:r>
      <w:r>
        <w:t xml:space="preserve">infrastructure demands, and the magnitude of the objective differences. These</w:t>
      </w:r>
      <w:r>
        <w:t xml:space="preserve"> </w:t>
      </w:r>
      <w:r>
        <w:t xml:space="preserve">decision-level tests have not been completed here. The existing frontier is a</w:t>
      </w:r>
      <w:r>
        <w:t xml:space="preserve"> </w:t>
      </w:r>
      <w:r>
        <w:t xml:space="preserve">conditional comparison of three implementations, not a search over all feasible</w:t>
      </w:r>
      <w:r>
        <w:t xml:space="preserve"> </w:t>
      </w:r>
      <w:r>
        <w:t xml:space="preserve">plans or a recommendation that either retained model should determine land use.</w:t>
      </w:r>
    </w:p>
    <w:p>
      <w:pPr>
        <w:pStyle w:val="BodyText"/>
      </w:pPr>
      <w:r>
        <w:t xml:space="preserve">The next validation step should use a spatially stratified reference sample of</w:t>
      </w:r>
      <w:r>
        <w:t xml:space="preserve"> </w:t>
      </w:r>
      <w:r>
        <w:t xml:space="preserve">product-agreement changes, product-disagreement changes and stable cells, assessed</w:t>
      </w:r>
      <w:r>
        <w:t xml:space="preserve"> </w:t>
      </w:r>
      <w:r>
        <w:t xml:space="preserve">from contemporaneous independent imagery or locally approved records. Reference</w:t>
      </w:r>
      <w:r>
        <w:t xml:space="preserve"> </w:t>
      </w:r>
      <w:r>
        <w:t xml:space="preserve">interpretation should be blinded to model identity, record ambiguous cases and</w:t>
      </w:r>
      <w:r>
        <w:t xml:space="preserve"> </w:t>
      </w:r>
      <w:r>
        <w:t xml:space="preserve">report sampling weights and class-specific gain/loss accuracy. In parallel, a</w:t>
      </w:r>
      <w:r>
        <w:t xml:space="preserve"> </w:t>
      </w:r>
      <w:r>
        <w:t xml:space="preserve">transition-budget allocator permitting simultaneous gain and loss should be</w:t>
      </w:r>
      <w:r>
        <w:t xml:space="preserve"> </w:t>
      </w:r>
      <w:r>
        <w:t xml:space="preserve">compared with the minimum-change projection under the same proposal, candidate</w:t>
      </w:r>
      <w:r>
        <w:t xml:space="preserve"> </w:t>
      </w:r>
      <w:r>
        <w:t xml:space="preserve">pool and masks. The FLUS baseline provides only partial evidence because its</w:t>
      </w:r>
      <w:r>
        <w:t xml:space="preserve"> </w:t>
      </w:r>
      <w:r>
        <w:t xml:space="preserve">suitability learner, finite CA iterations and candidate mechanism also differ.</w:t>
      </w:r>
      <w:r>
        <w:t xml:space="preserve"> </w:t>
      </w:r>
      <w:r>
        <w:t xml:space="preserve">Neither independent reference validation nor this controlled gross-transition</w:t>
      </w:r>
      <w:r>
        <w:t xml:space="preserve"> </w:t>
      </w:r>
      <w:r>
        <w:t xml:space="preserve">experiment has been performed. They are requirements for extending the present</w:t>
      </w:r>
      <w:r>
        <w:t xml:space="preserve"> </w:t>
      </w:r>
      <w:r>
        <w:t xml:space="preserve">conditional allocation findings to operational planning claims.</w:t>
      </w:r>
    </w:p>
    <w:bookmarkEnd w:id="51"/>
    <w:bookmarkEnd w:id="52"/>
    <w:bookmarkStart w:id="53" w:name="conclusions"/>
    <w:p>
      <w:pPr>
        <w:pStyle w:val="Heading2"/>
      </w:pPr>
      <w:r>
        <w:t xml:space="preserve">Conclusions</w:t>
      </w:r>
    </w:p>
    <w:p>
      <w:pPr>
        <w:pStyle w:val="FirstParagraph"/>
      </w:pPr>
      <w:r>
        <w:t xml:space="preserve">Replacing Dynamic World with a newer ArcGIS-served 10-m annual product changed</w:t>
      </w:r>
      <w:r>
        <w:t xml:space="preserve"> </w:t>
      </w:r>
      <w:r>
        <w:t xml:space="preserve">mapped built stock, transition prevalence and the leading model by year. The</w:t>
      </w:r>
      <w:r>
        <w:t xml:space="preserve"> </w:t>
      </w:r>
      <w:r>
        <w:t xml:space="preserve">only positive matched-product differences for the two exact-count learned</w:t>
      </w:r>
      <w:r>
        <w:t xml:space="preserve"> </w:t>
      </w:r>
      <w:r>
        <w:t xml:space="preserve">models occur in the 2022 target following the ArcGIS class-composition break;</w:t>
      </w:r>
      <w:r>
        <w:t xml:space="preserve"> </w:t>
      </w:r>
      <w:r>
        <w:t xml:space="preserve">outside that target, both Kernel and GeoFM-LDN have lower product-specific FoM</w:t>
      </w:r>
      <w:r>
        <w:t xml:space="preserve"> </w:t>
      </w:r>
      <w:r>
        <w:t xml:space="preserve">on every remaining paired fold. This is evidence of label-product dependence,</w:t>
      </w:r>
      <w:r>
        <w:t xml:space="preserve"> </w:t>
      </w:r>
      <w:r>
        <w:t xml:space="preserve">not evidence that either product is more accurate. Geospatial Kernel remained</w:t>
      </w:r>
      <w:r>
        <w:t xml:space="preserve"> </w:t>
      </w:r>
      <w:r>
        <w:t xml:space="preserve">consistently better than random minimum-change allocation, but it was not</w:t>
      </w:r>
      <w:r>
        <w:t xml:space="preserve"> </w:t>
      </w:r>
      <w:r>
        <w:t xml:space="preserve">universally the best learned model. Its strongest transferable property in this</w:t>
      </w:r>
      <w:r>
        <w:t xml:space="preserve"> </w:t>
      </w:r>
      <w:r>
        <w:t xml:space="preserve">experiment is therefore the auditable separation of learned proposal,</w:t>
      </w:r>
      <w:r>
        <w:t xml:space="preserve"> </w:t>
      </w:r>
      <w:r>
        <w:t xml:space="preserve">constrained projection and state writeback, not a product-independent accuracy</w:t>
      </w:r>
      <w:r>
        <w:t xml:space="preserve"> </w:t>
      </w:r>
      <w:r>
        <w:t xml:space="preserve">claim. The count-only bounds constrain only the exact minimum-change</w:t>
      </w:r>
      <w:r>
        <w:t xml:space="preserve"> </w:t>
      </w:r>
      <w:r>
        <w:t xml:space="preserve">projections; the FLUS baseline already shows that allowing more gross change</w:t>
      </w:r>
      <w:r>
        <w:t xml:space="preserve"> </w:t>
      </w:r>
      <w:r>
        <w:t xml:space="preserve">alone does not determine FoM. A controlled gross-transition comparison must</w:t>
      </w:r>
      <w:r>
        <w:t xml:space="preserve"> </w:t>
      </w:r>
      <w:r>
        <w:t xml:space="preserve">separate that budget from proposal-model skill.</w:t>
      </w:r>
    </w:p>
    <w:p>
      <w:pPr>
        <w:pStyle w:val="BodyText"/>
      </w:pPr>
      <w:r>
        <w:t xml:space="preserve">The refreshed series adds a 2025 public origin state, native-10-m audit rasters</w:t>
      </w:r>
      <w:r>
        <w:t xml:space="preserve"> </w:t>
      </w:r>
      <w:r>
        <w:t xml:space="preserve">and complete 2026–2031 raster and vector scenario deliveries. Model execution</w:t>
      </w:r>
      <w:r>
        <w:t xml:space="preserve"> </w:t>
      </w:r>
      <w:r>
        <w:t xml:space="preserve">remains at 100 m, and both future bundles are conditional stress tests. A valid</w:t>
      </w:r>
      <w:r>
        <w:t xml:space="preserve"> </w:t>
      </w:r>
      <w:r>
        <w:t xml:space="preserve">operational forecast still requires locally approved land-use history, planning</w:t>
      </w:r>
      <w:r>
        <w:t xml:space="preserve"> </w:t>
      </w:r>
      <w:r>
        <w:t xml:space="preserve">constraints, demand assumptions and an independent change-validation design.</w:t>
      </w:r>
    </w:p>
    <w:bookmarkEnd w:id="53"/>
    <w:bookmarkStart w:id="54" w:name="data-availability"/>
    <w:p>
      <w:pPr>
        <w:pStyle w:val="Heading2"/>
      </w:pPr>
      <w:r>
        <w:t xml:space="preserve">Data availability</w:t>
      </w:r>
    </w:p>
    <w:p>
      <w:pPr>
        <w:pStyle w:val="FirstParagraph"/>
      </w:pPr>
      <w:r>
        <w:t xml:space="preserve">The public-data benchmark manifests, protocols, reports and generated delivery artefacts are organized under</w:t>
      </w:r>
      <w:r>
        <w:t xml:space="preserve"> </w:t>
      </w:r>
      <w:r>
        <w:rPr>
          <w:rStyle w:val="VerbatimChar"/>
        </w:rPr>
        <w:t xml:space="preserve">benchmarks/abu_dhabi_land_use_v1/</w:t>
      </w:r>
      <w:r>
        <w:t xml:space="preserve"> </w:t>
      </w:r>
      <w:r>
        <w:t xml:space="preserve">and</w:t>
      </w:r>
      <w:r>
        <w:t xml:space="preserve"> </w:t>
      </w:r>
      <w:r>
        <w:rPr>
          <w:rStyle w:val="VerbatimChar"/>
        </w:rPr>
        <w:t xml:space="preserve">benchmarks/abu_dhabi_land_use_v2/</w:t>
      </w:r>
      <w:r>
        <w:t xml:space="preserve"> </w:t>
      </w:r>
      <w:r>
        <w:t xml:space="preserve">in the accompanying repository. The ArcGIS-served cross-product source release is archived at Zenodo v2.0.0 (https://doi.org/10.5281/zenodo.22689057), corresponding to GitHub tag</w:t>
      </w:r>
      <w:r>
        <w:t xml:space="preserve"> </w:t>
      </w:r>
      <w:r>
        <w:rPr>
          <w:rStyle w:val="VerbatimChar"/>
        </w:rPr>
        <w:t xml:space="preserve">v2.0.0</w:t>
      </w:r>
      <w:r>
        <w:t xml:space="preserve"> </w:t>
      </w:r>
      <w:r>
        <w:t xml:space="preserve">at commit</w:t>
      </w:r>
      <w:r>
        <w:t xml:space="preserve"> </w:t>
      </w:r>
      <w:r>
        <w:rPr>
          <w:rStyle w:val="VerbatimChar"/>
        </w:rPr>
        <w:t xml:space="preserve">77e2c59</w:t>
      </w:r>
      <w:r>
        <w:t xml:space="preserve">; the version-independent concept DOI is https://doi.org/10.5281/zenodo.22663475. The published v2 release is defined by</w:t>
      </w:r>
      <w:r>
        <w:t xml:space="preserve"> </w:t>
      </w:r>
      <w:r>
        <w:rPr>
          <w:rStyle w:val="VerbatimChar"/>
        </w:rPr>
        <w:t xml:space="preserve">reproducibility/MANIFEST.json</w:t>
      </w:r>
      <w:r>
        <w:t xml:space="preserve"> </w:t>
      </w:r>
      <w:r>
        <w:t xml:space="preserve">(immutable inputs, assets and code) and</w:t>
      </w:r>
      <w:r>
        <w:t xml:space="preserve"> </w:t>
      </w:r>
      <w:r>
        <w:rPr>
          <w:rStyle w:val="VerbatimChar"/>
        </w:rPr>
        <w:t xml:space="preserve">reproducibility/PUBLICATION_OUTPUTS.json</w:t>
      </w:r>
      <w:r>
        <w:t xml:space="preserve"> </w:t>
      </w:r>
      <w:r>
        <w:t xml:space="preserve">(reports, source data, figures and delivered rasters/vectors). This manuscript’s separate working-revision manifest additionally freezes the 27 per-seed 2031 ArcGIS planning rasters required to regenerate Fig. 4 and Supplementary Tables S1/S6 from frozen inputs. The Zenodo record contains GitHub’s automatically generated source ZIP, which was inspected after publication and contains Git LFS pointers rather than hydrated large rasters, GeoPackages and model checkpoints. A full numerical rerun therefore requires checking out the tagged GitHub repository and retrieving its LFS objects; the DOI record alone is not a self-contained binary-data archive. The main evidence files are:</w:t>
      </w:r>
    </w:p>
    <w:p>
      <w:pPr>
        <w:pStyle w:val="Compact"/>
        <w:numPr>
          <w:ilvl w:val="0"/>
          <w:numId w:val="1002"/>
        </w:numPr>
      </w:pPr>
      <w:r>
        <w:rPr>
          <w:rStyle w:val="VerbatimChar"/>
        </w:rPr>
        <w:t xml:space="preserve">comparison_report_current.json</w:t>
      </w:r>
      <w:r>
        <w:t xml:space="preserve"> </w:t>
      </w:r>
      <w:r>
        <w:t xml:space="preserve">and</w:t>
      </w:r>
      <w:r>
        <w:t xml:space="preserve"> </w:t>
      </w:r>
      <w:r>
        <w:rPr>
          <w:rStyle w:val="VerbatimChar"/>
        </w:rPr>
        <w:t xml:space="preserve">comparison_report_current.md</w:t>
      </w:r>
      <w:r>
        <w:t xml:space="preserve"> </w:t>
      </w:r>
      <w:r>
        <w:t xml:space="preserve">for historical metrics when a data-complete rerun is available;</w:t>
      </w:r>
    </w:p>
    <w:p>
      <w:pPr>
        <w:pStyle w:val="Compact"/>
        <w:numPr>
          <w:ilvl w:val="0"/>
          <w:numId w:val="1002"/>
        </w:numPr>
      </w:pPr>
      <w:r>
        <w:rPr>
          <w:rStyle w:val="VerbatimChar"/>
        </w:rPr>
        <w:t xml:space="preserve">planning_comparison_report_public_2025_2031_current.json</w:t>
      </w:r>
      <w:r>
        <w:t xml:space="preserve"> </w:t>
      </w:r>
      <w:r>
        <w:t xml:space="preserve">and its Markdown rendering for 2031 planning objectives;</w:t>
      </w:r>
    </w:p>
    <w:p>
      <w:pPr>
        <w:pStyle w:val="Compact"/>
        <w:numPr>
          <w:ilvl w:val="0"/>
          <w:numId w:val="1002"/>
        </w:numPr>
      </w:pPr>
      <w:r>
        <w:rPr>
          <w:rStyle w:val="VerbatimChar"/>
        </w:rPr>
        <w:t xml:space="preserve">planning_scenario_report_public_2025_2031_current.json</w:t>
      </w:r>
      <w:r>
        <w:t xml:space="preserve"> </w:t>
      </w:r>
      <w:r>
        <w:t xml:space="preserve">for per-seed rollout traces;</w:t>
      </w:r>
    </w:p>
    <w:p>
      <w:pPr>
        <w:pStyle w:val="Compact"/>
        <w:numPr>
          <w:ilvl w:val="0"/>
          <w:numId w:val="1002"/>
        </w:numPr>
      </w:pPr>
      <w:r>
        <w:rPr>
          <w:rStyle w:val="VerbatimChar"/>
        </w:rPr>
        <w:t xml:space="preserve">planning_public_2025_2031_delivery_manifest_current.json</w:t>
      </w:r>
      <w:r>
        <w:t xml:space="preserve"> </w:t>
      </w:r>
      <w:r>
        <w:t xml:space="preserve">for raster and vector delivery;</w:t>
      </w:r>
    </w:p>
    <w:p>
      <w:pPr>
        <w:pStyle w:val="Compact"/>
        <w:numPr>
          <w:ilvl w:val="0"/>
          <w:numId w:val="1002"/>
        </w:numPr>
      </w:pPr>
      <w:r>
        <w:rPr>
          <w:rStyle w:val="VerbatimChar"/>
        </w:rPr>
        <w:t xml:space="preserve">output_audit.json</w:t>
      </w:r>
      <w:r>
        <w:t xml:space="preserve"> </w:t>
      </w:r>
      <w:r>
        <w:t xml:space="preserve">for the current raster audit;</w:t>
      </w:r>
      <w:r>
        <w:t xml:space="preserve"> </w:t>
      </w:r>
      <w:r>
        <w:rPr>
          <w:rStyle w:val="VerbatimChar"/>
        </w:rPr>
        <w:t xml:space="preserve">output_audit_reproducible.json</w:t>
      </w:r>
      <w:r>
        <w:t xml:space="preserve"> </w:t>
      </w:r>
      <w:r>
        <w:t xml:space="preserve">is a compatibility copy produced by the same run;</w:t>
      </w:r>
    </w:p>
    <w:p>
      <w:pPr>
        <w:pStyle w:val="Compact"/>
        <w:numPr>
          <w:ilvl w:val="0"/>
          <w:numId w:val="1002"/>
        </w:numPr>
      </w:pPr>
      <w:r>
        <w:rPr>
          <w:rStyle w:val="VerbatimChar"/>
        </w:rPr>
        <w:t xml:space="preserve">artifacts/rolling_backtest/report.json</w:t>
      </w:r>
      <w:r>
        <w:t xml:space="preserve"> </w:t>
      </w:r>
      <w:r>
        <w:t xml:space="preserve">and</w:t>
      </w:r>
      <w:r>
        <w:t xml:space="preserve"> </w:t>
      </w:r>
      <w:r>
        <w:rPr>
          <w:rStyle w:val="VerbatimChar"/>
        </w:rPr>
        <w:t xml:space="preserve">paired_spatial_uncertainty.json</w:t>
      </w:r>
      <w:r>
        <w:t xml:space="preserve"> </w:t>
      </w:r>
      <w:r>
        <w:t xml:space="preserve">for the four leakage-controlled one-step windows;</w:t>
      </w:r>
    </w:p>
    <w:p>
      <w:pPr>
        <w:pStyle w:val="Compact"/>
        <w:numPr>
          <w:ilvl w:val="0"/>
          <w:numId w:val="1002"/>
        </w:numPr>
      </w:pPr>
      <w:r>
        <w:rPr>
          <w:rStyle w:val="VerbatimChar"/>
        </w:rPr>
        <w:t xml:space="preserve">supplementary_table_S5_rolling_external_diagnostics.md</w:t>
      </w:r>
      <w:r>
        <w:t xml:space="preserve"> </w:t>
      </w:r>
      <w:r>
        <w:t xml:space="preserve">for the synchronized rolling and external-product table;</w:t>
      </w:r>
    </w:p>
    <w:p>
      <w:pPr>
        <w:pStyle w:val="Compact"/>
        <w:numPr>
          <w:ilvl w:val="0"/>
          <w:numId w:val="1002"/>
        </w:numPr>
      </w:pPr>
      <w:r>
        <w:rPr>
          <w:rStyle w:val="VerbatimChar"/>
        </w:rPr>
        <w:t xml:space="preserve">artifacts/external_validation/worldcover/</w:t>
      </w:r>
      <w:r>
        <w:t xml:space="preserve"> </w:t>
      </w:r>
      <w:r>
        <w:t xml:space="preserve">for frozen WorldCover built-fraction inputs, hashes and the external-product diagnostic;</w:t>
      </w:r>
    </w:p>
    <w:p>
      <w:pPr>
        <w:pStyle w:val="Compact"/>
        <w:numPr>
          <w:ilvl w:val="0"/>
          <w:numId w:val="1002"/>
        </w:numPr>
      </w:pPr>
      <w:r>
        <w:t xml:space="preserve">the v2 source manifest under</w:t>
      </w:r>
      <w:r>
        <w:t xml:space="preserve"> </w:t>
      </w:r>
      <w:r>
        <w:rPr>
          <w:rStyle w:val="VerbatimChar"/>
        </w:rPr>
        <w:t xml:space="preserve">artifacts/arcgis_sentinel2_landcover/</w:t>
      </w:r>
      <w:r>
        <w:t xml:space="preserve"> </w:t>
      </w:r>
      <w:r>
        <w:t xml:space="preserve">for service metadata, catalog records and downloaded-raster hashes;</w:t>
      </w:r>
    </w:p>
    <w:p>
      <w:pPr>
        <w:pStyle w:val="Compact"/>
        <w:numPr>
          <w:ilvl w:val="0"/>
          <w:numId w:val="1002"/>
        </w:numPr>
      </w:pPr>
      <w:r>
        <w:t xml:space="preserve">the v2 paired reports under</w:t>
      </w:r>
      <w:r>
        <w:t xml:space="preserve"> </w:t>
      </w:r>
      <w:r>
        <w:rPr>
          <w:rStyle w:val="VerbatimChar"/>
        </w:rPr>
        <w:t xml:space="preserve">artifacts/arcgis_v2_historical_backtest/</w:t>
      </w:r>
      <w:r>
        <w:t xml:space="preserve"> </w:t>
      </w:r>
      <w:r>
        <w:t xml:space="preserve">and</w:t>
      </w:r>
      <w:r>
        <w:t xml:space="preserve"> </w:t>
      </w:r>
      <w:r>
        <w:rPr>
          <w:rStyle w:val="VerbatimChar"/>
        </w:rPr>
        <w:t xml:space="preserve">artifacts/dynamic_world_matched_backtest/</w:t>
      </w:r>
      <w:r>
        <w:t xml:space="preserve"> </w:t>
      </w:r>
      <w:r>
        <w:t xml:space="preserve">for the two complete three-model expanding-window tracks;</w:t>
      </w:r>
    </w:p>
    <w:p>
      <w:pPr>
        <w:pStyle w:val="Compact"/>
        <w:numPr>
          <w:ilvl w:val="0"/>
          <w:numId w:val="1002"/>
        </w:numPr>
      </w:pPr>
      <w:r>
        <w:t xml:space="preserve">the v2 cross-product summary under</w:t>
      </w:r>
      <w:r>
        <w:t xml:space="preserve"> </w:t>
      </w:r>
      <w:r>
        <w:rPr>
          <w:rStyle w:val="VerbatimChar"/>
        </w:rPr>
        <w:t xml:space="preserve">results_arcgis_v2/paper_refresh/</w:t>
      </w:r>
      <w:r>
        <w:t xml:space="preserve">, Supplementary Tables S1/S6, and the 27 frozen per-seed 2031 ArcGIS planning states, whose locations and hashes are recorded in the working-revision publication-output manifest;</w:t>
      </w:r>
    </w:p>
    <w:p>
      <w:pPr>
        <w:pStyle w:val="Compact"/>
        <w:numPr>
          <w:ilvl w:val="0"/>
          <w:numId w:val="1002"/>
        </w:numPr>
      </w:pPr>
      <w:r>
        <w:t xml:space="preserve">the v2</w:t>
      </w:r>
      <w:r>
        <w:t xml:space="preserve"> </w:t>
      </w:r>
      <w:r>
        <w:rPr>
          <w:rStyle w:val="VerbatimChar"/>
        </w:rPr>
        <w:t xml:space="preserve">results_arcgis_v2/ensembles/</w:t>
      </w:r>
      <w:r>
        <w:t xml:space="preserve"> </w:t>
      </w:r>
      <w:r>
        <w:t xml:space="preserve">and</w:t>
      </w:r>
      <w:r>
        <w:t xml:space="preserve"> </w:t>
      </w:r>
      <w:r>
        <w:rPr>
          <w:rStyle w:val="VerbatimChar"/>
        </w:rPr>
        <w:t xml:space="preserve">vectors/</w:t>
      </w:r>
      <w:r>
        <w:t xml:space="preserve"> </w:t>
      </w:r>
      <w:r>
        <w:t xml:space="preserve">directories for the 2026–2031 raster and change-footprint deliveries;</w:t>
      </w:r>
    </w:p>
    <w:p>
      <w:pPr>
        <w:pStyle w:val="Compact"/>
        <w:numPr>
          <w:ilvl w:val="0"/>
          <w:numId w:val="1002"/>
        </w:numPr>
      </w:pPr>
      <w:r>
        <w:t xml:space="preserve">the data-audit, protocol and source-input manifests for data provenance;</w:t>
      </w:r>
    </w:p>
    <w:p>
      <w:pPr>
        <w:pStyle w:val="Compact"/>
        <w:numPr>
          <w:ilvl w:val="0"/>
          <w:numId w:val="1002"/>
        </w:numPr>
      </w:pPr>
      <w:r>
        <w:t xml:space="preserve">The released bundle includes the aligned 2017–2024 public rasters, historical and rolling-origin prediction rasters, frozen WorldCover built-fraction rasters, 2025–2031 planning rasters, nine GeoPackages of dissolved change footprints, model checkpoints and SHA-256 manifests. Working-revision text records use canonical LF hashes and pass with</w:t>
      </w:r>
      <w:r>
        <w:t xml:space="preserve"> </w:t>
      </w:r>
      <w:r>
        <w:rPr>
          <w:rStyle w:val="VerbatimChar"/>
        </w:rPr>
        <w:t xml:space="preserve">core.autocrlf=true</w:t>
      </w:r>
      <w:r>
        <w:t xml:space="preserve">; exact verification of the published v2.0.0 manifests requires a separate LF checkout (</w:t>
      </w:r>
      <w:r>
        <w:rPr>
          <w:rStyle w:val="VerbatimChar"/>
        </w:rPr>
        <w:t xml:space="preserve">git -c core.autocrlf=false checkout v2.0.0</w:t>
      </w:r>
      <w:r>
        <w:t xml:space="preserve">) because six historic text records use raw-byte hashes. The locked macOS arm64 execution environment remains the reference for model outputs. An archived arm64 Linux rerun of the six historical Kernel rasters differed from the macOS reference by 498–1,147 cells (0.62%–1.44%), with strict-FoM deltas from -0.0023 to +0.0010; these cross-stack differences are quantified rather than treated as categorical identity. A maintained GitHub Actions Ubuntu x86_64 rerun of all six rasters under the resolved lock had zero categorical differences; the repository-stored CI audit is in</w:t>
      </w:r>
      <w:r>
        <w:t xml:space="preserve"> </w:t>
      </w:r>
      <w:r>
        <w:rPr>
          <w:rStyle w:val="VerbatimChar"/>
        </w:rPr>
        <w:t xml:space="preserve">artifacts/cross_platform</w:t>
      </w:r>
      <w:r>
        <w:t xml:space="preserve">, and the workflow is versioned under</w:t>
      </w:r>
      <w:r>
        <w:t xml:space="preserve"> </w:t>
      </w:r>
      <w:r>
        <w:rPr>
          <w:rStyle w:val="VerbatimChar"/>
        </w:rPr>
        <w:t xml:space="preserve">.github/workflows/</w:t>
      </w:r>
      <w:r>
        <w:t xml:space="preserve">. Independent external Windows evidence remains separately labelled for FLUS because the corresponding rasters are not archived locally. No private database address, credential or client-only service is included. Authoritative Abu Dhabi land-use and independent reference data remain outside this study.</w:t>
      </w:r>
    </w:p>
    <w:p>
      <w:pPr>
        <w:pStyle w:val="FirstParagraph"/>
      </w:pPr>
      <w:r>
        <w:t xml:space="preserve">The current working revision and the published v2.0.0 archive are distinct</w:t>
      </w:r>
      <w:r>
        <w:t xml:space="preserve"> </w:t>
      </w:r>
      <w:r>
        <w:t xml:space="preserve">versions. The published DOI continues to identify its original tagged inputs,</w:t>
      </w:r>
      <w:r>
        <w:t xml:space="preserve"> </w:t>
      </w:r>
      <w:r>
        <w:t xml:space="preserve">outputs and manuscript. The working revision adds report-derived allocation and</w:t>
      </w:r>
      <w:r>
        <w:t xml:space="preserve"> </w:t>
      </w:r>
      <w:r>
        <w:t xml:space="preserve">crosswalk analyses, working-revision 2031 seed rasters, and revised interpretation</w:t>
      </w:r>
      <w:r>
        <w:t xml:space="preserve"> </w:t>
      </w:r>
      <w:r>
        <w:t xml:space="preserve">without retraining models or replacing historical prediction rasters. Its separate working manifests and source hashes</w:t>
      </w:r>
      <w:r>
        <w:t xml:space="preserve"> </w:t>
      </w:r>
      <w:r>
        <w:t xml:space="preserve">are described in</w:t>
      </w:r>
      <w:r>
        <w:t xml:space="preserve"> </w:t>
      </w:r>
      <w:r>
        <w:rPr>
          <w:rStyle w:val="VerbatimChar"/>
        </w:rPr>
        <w:t xml:space="preserve">benchmarks/abu_dhabi_land_use_v2/reproducibility/WORKING_REVISION.md</w:t>
      </w:r>
      <w:r>
        <w:t xml:space="preserve">;</w:t>
      </w:r>
      <w:r>
        <w:t xml:space="preserve"> </w:t>
      </w:r>
      <w:r>
        <w:t xml:space="preserve">passing them verifies the declared revision, not a new DOI release.</w:t>
      </w:r>
    </w:p>
    <w:bookmarkEnd w:id="54"/>
    <w:bookmarkStart w:id="55" w:name="code-availability"/>
    <w:p>
      <w:pPr>
        <w:pStyle w:val="Heading2"/>
      </w:pPr>
      <w:r>
        <w:t xml:space="preserve">Code availability</w:t>
      </w:r>
    </w:p>
    <w:p>
      <w:pPr>
        <w:pStyle w:val="FirstParagraph"/>
      </w:pPr>
      <w:r>
        <w:t xml:space="preserve">The analysis scripts, vendored Geospatial Kernel runtime snapshot, benchmark protocol, model runners, figure-generation code and source-data tables are maintained in the accompanying repository. The benchmark READMEs provide the complete entry-point list;</w:t>
      </w:r>
      <w:r>
        <w:t xml:space="preserve"> </w:t>
      </w:r>
      <w:r>
        <w:rPr>
          <w:rStyle w:val="VerbatimChar"/>
        </w:rPr>
        <w:t xml:space="preserve">reproducibility/reproduce.py</w:t>
      </w:r>
      <w:r>
        <w:t xml:space="preserve">,</w:t>
      </w:r>
      <w:r>
        <w:t xml:space="preserve"> </w:t>
      </w:r>
      <w:r>
        <w:rPr>
          <w:rStyle w:val="VerbatimChar"/>
        </w:rPr>
        <w:t xml:space="preserve">reproducibility/reproducibility_check.py</w:t>
      </w:r>
      <w:r>
        <w:t xml:space="preserve"> </w:t>
      </w:r>
      <w:r>
        <w:t xml:space="preserve">and</w:t>
      </w:r>
      <w:r>
        <w:t xml:space="preserve"> </w:t>
      </w:r>
      <w:r>
        <w:rPr>
          <w:rStyle w:val="VerbatimChar"/>
        </w:rPr>
        <w:t xml:space="preserve">audit_outputs.py</w:t>
      </w:r>
      <w:r>
        <w:t xml:space="preserve"> </w:t>
      </w:r>
      <w:r>
        <w:t xml:space="preserve">are the end-to-end and fail-closed verification entry points. The cross-product workflow is documented beside</w:t>
      </w:r>
      <w:r>
        <w:t xml:space="preserve"> </w:t>
      </w:r>
      <w:r>
        <w:rPr>
          <w:rStyle w:val="VerbatimChar"/>
        </w:rPr>
        <w:t xml:space="preserve">analyze_product_robustness.py</w:t>
      </w:r>
      <w:r>
        <w:t xml:space="preserve">, with its frozen 2031 seed states and source data. This concise statement avoids duplicating the machine-readable inventory in the data manifests and supplementary files.</w:t>
      </w:r>
    </w:p>
    <w:p>
      <w:pPr>
        <w:pStyle w:val="BodyText"/>
      </w:pPr>
      <w:r>
        <w:t xml:space="preserve">GeoFM-LDN source and the three fixed checkpoints are included in the benchmark</w:t>
      </w:r>
      <w:r>
        <w:t xml:space="preserve"> </w:t>
      </w:r>
      <w:r>
        <w:t xml:space="preserve">external and prediction-artifact directories.</w:t>
      </w:r>
      <w:r>
        <w:t xml:space="preserve"> </w:t>
      </w:r>
      <w:r>
        <w:t xml:space="preserve">Earlier internal reference outputs, produced before the dependency lock was</w:t>
      </w:r>
      <w:r>
        <w:t xml:space="preserve"> </w:t>
      </w:r>
      <w:r>
        <w:t xml:space="preserve">completed, could not be regenerated under the resolved environment and were</w:t>
      </w:r>
      <w:r>
        <w:t xml:space="preserve"> </w:t>
      </w:r>
      <w:r>
        <w:t xml:space="preserve">superseded by the locked-environment rerun reported here. Historical strict-FoM</w:t>
      </w:r>
      <w:r>
        <w:t xml:space="preserve"> </w:t>
      </w:r>
      <w:r>
        <w:t xml:space="preserve">differences were at approximately the 0.001 level; discrete multi-year planning</w:t>
      </w:r>
      <w:r>
        <w:t xml:space="preserve"> </w:t>
      </w:r>
      <w:r>
        <w:t xml:space="preserve">ensemble demand errors changed more substantially and are reported here only</w:t>
      </w:r>
      <w:r>
        <w:t xml:space="preserve"> </w:t>
      </w:r>
      <w:r>
        <w:t xml:space="preserve">from the locked-environment rerun. The prior outputs remain Git-history lineage,</w:t>
      </w:r>
      <w:r>
        <w:t xml:space="preserve"> </w:t>
      </w:r>
      <w:r>
        <w:t xml:space="preserve">not current evidence.</w:t>
      </w:r>
      <w:r>
        <w:t xml:space="preserve"> </w:t>
      </w:r>
      <w:r>
        <w:t xml:space="preserve">The vendored FLUS executable is a macOS arm64 binary rebuilt from the GeoSOS</w:t>
      </w:r>
      <w:r>
        <w:t xml:space="preserve"> </w:t>
      </w:r>
      <w:r>
        <w:t xml:space="preserve">public FLUS source base. The author-modified source, including</w:t>
      </w:r>
      <w:r>
        <w:t xml:space="preserve"> </w:t>
      </w:r>
      <w:r>
        <w:rPr>
          <w:rStyle w:val="VerbatimChar"/>
        </w:rPr>
        <w:t xml:space="preserve">train-update</w:t>
      </w:r>
      <w:r>
        <w:t xml:space="preserve"> </w:t>
      </w:r>
      <w:r>
        <w:t xml:space="preserve">and</w:t>
      </w:r>
      <w:r>
        <w:t xml:space="preserve"> </w:t>
      </w:r>
      <w:r>
        <w:rPr>
          <w:rStyle w:val="VerbatimChar"/>
        </w:rPr>
        <w:t xml:space="preserve">FLUS_RANDOM_SEED</w:t>
      </w:r>
      <w:r>
        <w:t xml:space="preserve">, is archived at</w:t>
      </w:r>
      <w:r>
        <w:t xml:space="preserve"> </w:t>
      </w:r>
      <w:r>
        <w:t xml:space="preserve">the public FLUS source repository, tag</w:t>
      </w:r>
      <w:r>
        <w:t xml:space="preserve"> </w:t>
      </w:r>
      <w:r>
        <w:rPr>
          <w:rStyle w:val="VerbatimChar"/>
        </w:rPr>
        <w:t xml:space="preserve">paper-benchmark-flus-v1.1</w:t>
      </w:r>
      <w:r>
        <w:t xml:space="preserve"> </w:t>
      </w:r>
      <w:r>
        <w:t xml:space="preserve">at commit</w:t>
      </w:r>
      <w:r>
        <w:t xml:space="preserve"> </w:t>
      </w:r>
      <w:r>
        <w:rPr>
          <w:rStyle w:val="VerbatimChar"/>
        </w:rPr>
        <w:t xml:space="preserve">47e65b3</w:t>
      </w:r>
      <w:r>
        <w:t xml:space="preserve"> </w:t>
      </w:r>
      <w:r>
        <w:t xml:space="preserve">(the GeoSOS source release and Liu et al. (2017) are cited above). Rebuilding</w:t>
      </w:r>
      <w:r>
        <w:t xml:space="preserve"> </w:t>
      </w:r>
      <w:r>
        <w:t xml:space="preserve">the preceding v1 commit (</w:t>
      </w:r>
      <w:r>
        <w:rPr>
          <w:rStyle w:val="VerbatimChar"/>
        </w:rPr>
        <w:t xml:space="preserve">deb0a54</w:t>
      </w:r>
      <w:r>
        <w:t xml:space="preserve">) on macOS arm64 produced SHA-256</w:t>
      </w:r>
      <w:r>
        <w:t xml:space="preserve"> </w:t>
      </w:r>
      <w:r>
        <w:rPr>
          <w:rStyle w:val="VerbatimChar"/>
        </w:rPr>
        <w:t xml:space="preserve">9839ce50950442d4ef49e4d2129a1ba27735e1955c2d4975ae51067c1c3c9964</w:t>
      </w:r>
      <w:r>
        <w:t xml:space="preserve">,</w:t>
      </w:r>
      <w:r>
        <w:t xml:space="preserve"> </w:t>
      </w:r>
      <w:r>
        <w:t xml:space="preserve">identical to the vendored executable. Version v1.1 changes only invalid-input</w:t>
      </w:r>
      <w:r>
        <w:t xml:space="preserve"> </w:t>
      </w:r>
      <w:r>
        <w:t xml:space="preserve">failure handling and leaves valid-input algorithmic paths unchanged; the</w:t>
      </w:r>
      <w:r>
        <w:t xml:space="preserve"> </w:t>
      </w:r>
      <w:r>
        <w:t xml:space="preserve">normal-output equivalence check is archived with the source release.</w:t>
      </w:r>
      <w:r>
        <w:t xml:space="preserve"> </w:t>
      </w:r>
      <w:r>
        <w:t xml:space="preserve">The tagged author-modified source can also be built on Linux and Windows using</w:t>
      </w:r>
      <w:r>
        <w:t xml:space="preserve"> </w:t>
      </w:r>
      <w:r>
        <w:t xml:space="preserve">the repository instructions.</w:t>
      </w:r>
      <w:r>
        <w:t xml:space="preserve"> </w:t>
      </w:r>
      <w:r>
        <w:rPr>
          <w:rStyle w:val="VerbatimChar"/>
        </w:rPr>
        <w:t xml:space="preserve">FLUS_RANDOM_SEED</w:t>
      </w:r>
      <w:r>
        <w:t xml:space="preserve"> </w:t>
      </w:r>
      <w:r>
        <w:t xml:space="preserve">guarantees determinism only</w:t>
      </w:r>
      <w:r>
        <w:t xml:space="preserve"> </w:t>
      </w:r>
      <w:r>
        <w:t xml:space="preserve">within a platform and build environment because ANN sampling and CA roulette</w:t>
      </w:r>
      <w:r>
        <w:t xml:space="preserve"> </w:t>
      </w:r>
      <w:r>
        <w:t xml:space="preserve">draws use platform-defined C</w:t>
      </w:r>
      <w:r>
        <w:t xml:space="preserve"> </w:t>
      </w:r>
      <w:r>
        <w:rPr>
          <w:rStyle w:val="VerbatimChar"/>
        </w:rPr>
        <w:t xml:space="preserve">rand()</w:t>
      </w:r>
      <w:r>
        <w:t xml:space="preserve">/</w:t>
      </w:r>
      <w:r>
        <w:rPr>
          <w:rStyle w:val="VerbatimChar"/>
        </w:rPr>
        <w:t xml:space="preserve">srand()</w:t>
      </w:r>
      <w:r>
        <w:t xml:space="preserve"> </w:t>
      </w:r>
      <w:r>
        <w:t xml:space="preserve">streams. Independent external</w:t>
      </w:r>
      <w:r>
        <w:t xml:space="preserve"> </w:t>
      </w:r>
      <w:r>
        <w:t xml:space="preserve">Windows FLUS verification, including the seven-driver cross-platform difference</w:t>
      </w:r>
      <w:r>
        <w:t xml:space="preserve"> </w:t>
      </w:r>
      <w:r>
        <w:t xml:space="preserve">and the 25-feature zero-change outcome, is documented with its provenance</w:t>
      </w:r>
      <w:r>
        <w:t xml:space="preserve"> </w:t>
      </w:r>
      <w:r>
        <w:t xml:space="preserve">limitation in Supplementary Table S3. Windows execution requires the benchmark</w:t>
      </w:r>
      <w:r>
        <w:t xml:space="preserve"> </w:t>
      </w:r>
      <w:r>
        <w:t xml:space="preserve">and working directories to use pure ASCII paths; saving configuration files as</w:t>
      </w:r>
      <w:r>
        <w:t xml:space="preserve"> </w:t>
      </w:r>
      <w:r>
        <w:t xml:space="preserve">UTF-8 alone does not repair GDAL path decoding. A compatible local build is required to</w:t>
      </w:r>
      <w:r>
        <w:t xml:space="preserve"> </w:t>
      </w:r>
      <w:r>
        <w:t xml:space="preserve">execute the FLUS track outside macOS arm64 and will produce a different random</w:t>
      </w:r>
      <w:r>
        <w:t xml:space="preserve"> </w:t>
      </w:r>
      <w:r>
        <w:t xml:space="preserve">stream. The macOS binary SHA statement is an author self-check. As an</w:t>
      </w:r>
      <w:r>
        <w:t xml:space="preserve"> </w:t>
      </w:r>
      <w:r>
        <w:t xml:space="preserve">upstream-only fallback, the public FLUS CA source can be paired with an open</w:t>
      </w:r>
      <w:r>
        <w:t xml:space="preserve"> </w:t>
      </w:r>
      <w:r>
        <w:t xml:space="preserve">Python ANN implementation, but the unmodified upstream CA uses time seeding</w:t>
      </w:r>
      <w:r>
        <w:t xml:space="preserve"> </w:t>
      </w:r>
      <w:r>
        <w:t xml:space="preserve">rather than</w:t>
      </w:r>
      <w:r>
        <w:t xml:space="preserve"> </w:t>
      </w:r>
      <w:r>
        <w:rPr>
          <w:rStyle w:val="VerbatimChar"/>
        </w:rPr>
        <w:t xml:space="preserve">FLUS_RANDOM_SEED</w:t>
      </w:r>
      <w:r>
        <w:t xml:space="preserve">. The corresponding-author e-mail is</w:t>
      </w:r>
      <w:r>
        <w:t xml:space="preserve"> </w:t>
      </w:r>
      <w:r>
        <w:rPr>
          <w:rStyle w:val="VerbatimChar"/>
        </w:rPr>
        <w:t xml:space="preserve">zhouning@freedotech.com</w:t>
      </w:r>
      <w:r>
        <w:t xml:space="preserve">. The versioned v2 source release is archived at</w:t>
      </w:r>
      <w:r>
        <w:t xml:space="preserve"> </w:t>
      </w:r>
      <w:r>
        <w:t xml:space="preserve">https://doi.org/10.5281/zenodo.22689057 and corresponds to GitHub tag</w:t>
      </w:r>
      <w:r>
        <w:t xml:space="preserve"> </w:t>
      </w:r>
      <w:r>
        <w:rPr>
          <w:rStyle w:val="VerbatimChar"/>
        </w:rPr>
        <w:t xml:space="preserve">v2.0.0</w:t>
      </w:r>
      <w:r>
        <w:t xml:space="preserve"> </w:t>
      </w:r>
      <w:r>
        <w:t xml:space="preserve">at commit</w:t>
      </w:r>
      <w:r>
        <w:t xml:space="preserve"> </w:t>
      </w:r>
      <w:r>
        <w:rPr>
          <w:rStyle w:val="VerbatimChar"/>
        </w:rPr>
        <w:t xml:space="preserve">77e2c59</w:t>
      </w:r>
      <w:r>
        <w:t xml:space="preserve">; the DOI identifies the public benchmark source release,</w:t>
      </w:r>
      <w:r>
        <w:t xml:space="preserve"> </w:t>
      </w:r>
      <w:r>
        <w:t xml:space="preserve">not the eventual journal article DOI. Hydrated Git LFS objects must be fetched</w:t>
      </w:r>
      <w:r>
        <w:t xml:space="preserve"> </w:t>
      </w:r>
      <w:r>
        <w:t xml:space="preserve">from the tagged repository for a full numerical rerun.</w:t>
      </w:r>
    </w:p>
    <w:bookmarkEnd w:id="55"/>
    <w:bookmarkStart w:id="56" w:name="declarations"/>
    <w:p>
      <w:pPr>
        <w:pStyle w:val="Heading2"/>
      </w:pPr>
      <w:r>
        <w:t xml:space="preserve">Declarations</w:t>
      </w:r>
    </w:p>
    <w:p>
      <w:pPr>
        <w:pStyle w:val="FirstParagraph"/>
      </w:pPr>
      <w:r>
        <w:rPr>
          <w:b/>
          <w:bCs/>
        </w:rPr>
        <w:t xml:space="preserve">Funding.</w:t>
      </w:r>
      <w:r>
        <w:t xml:space="preserve"> </w:t>
      </w:r>
      <w:r>
        <w:t xml:space="preserve">No external funding was received for this study.</w:t>
      </w:r>
    </w:p>
    <w:p>
      <w:pPr>
        <w:pStyle w:val="BodyText"/>
      </w:pPr>
      <w:r>
        <w:rPr>
          <w:b/>
          <w:bCs/>
        </w:rPr>
        <w:t xml:space="preserve">Competing interests.</w:t>
      </w:r>
      <w:r>
        <w:t xml:space="preserve"> </w:t>
      </w:r>
      <w:r>
        <w:t xml:space="preserve">Ning Zhou is employed by Beijing Freedo Technology Co., Ltd., which develops geospatial-world-model software. The author declares no other competing financial or personal interests.</w:t>
      </w:r>
    </w:p>
    <w:p>
      <w:pPr>
        <w:pStyle w:val="BodyText"/>
      </w:pPr>
      <w:r>
        <w:rPr>
          <w:b/>
          <w:bCs/>
        </w:rPr>
        <w:t xml:space="preserve">CRediT author statement.</w:t>
      </w:r>
      <w:r>
        <w:t xml:space="preserve"> </w:t>
      </w:r>
      <w:r>
        <w:t xml:space="preserve">Ning Zhou: Conceptualization, methodology, software, data curation, formal analysis, visualization, writing—original draft, writing—review and editing.</w:t>
      </w:r>
    </w:p>
    <w:p>
      <w:pPr>
        <w:pStyle w:val="BodyText"/>
      </w:pPr>
      <w:r>
        <w:rPr>
          <w:b/>
          <w:bCs/>
        </w:rPr>
        <w:t xml:space="preserve">Acknowledgements.</w:t>
      </w:r>
      <w:r>
        <w:t xml:space="preserve"> </w:t>
      </w:r>
      <w:r>
        <w:t xml:space="preserve">The author thanks the anonymous reviewers for independent technical verification and constructive methodological comments.</w:t>
      </w:r>
    </w:p>
    <w:p>
      <w:pPr>
        <w:pStyle w:val="BodyText"/>
      </w:pPr>
      <w:r>
        <w:rPr>
          <w:b/>
          <w:bCs/>
        </w:rPr>
        <w:t xml:space="preserve">Ethics statement.</w:t>
      </w:r>
      <w:r>
        <w:t xml:space="preserve"> </w:t>
      </w:r>
      <w:r>
        <w:t xml:space="preserve">Not applicable; the study used geospatial raster, vector and derived public-data products and did not involve human or animal participants.</w:t>
      </w:r>
    </w:p>
    <w:p>
      <w:pPr>
        <w:pStyle w:val="BodyText"/>
      </w:pPr>
      <w:r>
        <w:rPr>
          <w:b/>
          <w:bCs/>
        </w:rPr>
        <w:t xml:space="preserve">Declaration of generative AI and AI-assisted technologies in the writing process.</w:t>
      </w:r>
      <w:r>
        <w:t xml:space="preserve"> </w:t>
      </w:r>
      <w:r>
        <w:t xml:space="preserve">During preparation of this work, the author used OpenAI Codex for language editing, code review and document-formatting assistance. The author reviewed and revised all outputs and takes full responsibility for the content of the publication.</w:t>
      </w:r>
    </w:p>
    <w:bookmarkEnd w:id="56"/>
    <w:bookmarkStart w:id="57"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Brumby, S. P., Guzder-Williams, B., Birch, T., Hyde, S. B., Mazzariello, J., Czerwinski, W., Pasquarella, V. J., Haertel, R., Ilyushchenko, S., Schwehr, K., Weisse, M., Stolle, F., Hanson, C., Guinan, O., Moore, R., &amp; Tait, A. M.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Brown, C. F., Kazmierski, M. R., Pasquarella, V. J., Rucklidge, W. J., Samsikova, M., Zhang, C., Shelhamer, E., Lahera, E., Wiles, O., Ilyushchenko, S., Gorelick, N., Zhang, L. L., Alj, S., Schechter, E., Askay, S., Guinan, O., Moore, R., Boukouvalas, A., &amp; Kohli, P. (2025). AlphaEarth Foundations: An embedding field model for accurate and efficient global mapping from sparse label data.</w:t>
      </w:r>
      <w:r>
        <w:t xml:space="preserve"> </w:t>
      </w:r>
      <w:r>
        <w:rPr>
          <w:i/>
          <w:iCs/>
        </w:rPr>
        <w:t xml:space="preserve">arXiv</w:t>
      </w:r>
      <w:r>
        <w:t xml:space="preserve">. https://doi.org/10.48550/arXiv.2507.22291</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Copernicus. (2024). Copernicus DEM GLO-30 (2024_1): Global 30m Digital Elevation Model [Data set; digital surface model]. Google Earth Engine Data Catalog. https://developers.google.com/earth-engine/datasets/catalog/COPERNICUS_DEM_GLO30_2024_1 (accessed 10 September 2026).</w:t>
      </w:r>
    </w:p>
    <w:p>
      <w:pPr>
        <w:pStyle w:val="BodyText"/>
      </w:pPr>
      <w:r>
        <w:t xml:space="preserve">Earth Observation Group, Payne Institute for Public Policy, Colorado School of Mines. (n.d.). VIIRS Stray Light Corrected Nighttime Day/Night Band Composites Version 1 [Monthly data set; VCMSLCFG]. Google Earth Engine Data Catalog. https://developers.google.com/earth-engine/datasets/catalog/NOAA_VIIRS_DNB_MONTHLY_V1_VCMSLCFG (accessed 10 September 2026).</w:t>
      </w:r>
    </w:p>
    <w:p>
      <w:pPr>
        <w:pStyle w:val="BodyText"/>
      </w:pPr>
      <w:r>
        <w:t xml:space="preserve">Elvidge, C. D., Zhizhin, M., Ghosh, T., Hsu, F.-C., &amp; Taneja, J. (2021). Annual time series of global VIIRS nighttime lights derived from monthly averages: 2012 to 2019.</w:t>
      </w:r>
      <w:r>
        <w:t xml:space="preserve"> </w:t>
      </w:r>
      <w:r>
        <w:rPr>
          <w:i/>
          <w:iCs/>
        </w:rPr>
        <w:t xml:space="preserve">Remote Sensing</w:t>
      </w:r>
      <w:r>
        <w:t xml:space="preserve">, 13, 922. https://doi.org/10.3390/rs13050922</w:t>
      </w:r>
    </w:p>
    <w:p>
      <w:pPr>
        <w:pStyle w:val="BodyText"/>
      </w:pPr>
      <w:r>
        <w:t xml:space="preserve">Esri. (2026). Sentinel-2 10 m land cover time series of the world [Data set]. ArcGIS Living Atlas of the World. https://www.arcgis.com/home/item.html?id=cfcb7609de5f478eb7666240902d4d3d (accessed 11 September 2026).</w:t>
      </w:r>
    </w:p>
    <w:p>
      <w:pPr>
        <w:pStyle w:val="BodyText"/>
      </w:pPr>
      <w:r>
        <w:t xml:space="preserve">Geofabrik. (2026). GCC States OpenStreetMap extract, 31 July 2026 [Data set; gcc-states-260731.osm.pbf]. https://download.geofabrik.de/asia/gcc-states-260731.osm.pbf</w:t>
      </w:r>
    </w:p>
    <w:p>
      <w:pPr>
        <w:pStyle w:val="BodyText"/>
      </w:pPr>
      <w:r>
        <w:t xml:space="preserve">GeoSOS team, Sun Yat-sen University. (n.d.). FLUS source code for non-commercial academic research. http://www.geosimulation.cn/FLUS-source-code.html (accessed 6 September 2026).</w:t>
      </w:r>
    </w:p>
    <w:p>
      <w:pPr>
        <w:pStyle w:val="BodyText"/>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Impact Observatory, Microsoft, &amp; Esri. (n.d.). Sentinel-2 10m land cover time series of the world [Data set]. ArcGIS ImageServer. https://ic.imagery1.arcgis.com/arcgis/rest/services/Sentinel2_10m_LandCover/ImageServer (archived materialization manifest dated 9 September 2026; upstream release version not recorded).</w:t>
      </w:r>
    </w:p>
    <w:p>
      <w:pPr>
        <w:pStyle w:val="BodyText"/>
      </w:pPr>
      <w:r>
        <w:t xml:space="preserve">Karra, K., Kontgis, C., Statman-Weil, Z., Mazzariello, J. C., Mathis, M., &amp; Brumby, S. P. (2021). Global land use/land cover with Sentinel 2 and deep learning.</w:t>
      </w:r>
      <w:r>
        <w:t xml:space="preserve"> </w:t>
      </w:r>
      <w:r>
        <w:rPr>
          <w:i/>
          <w:iCs/>
        </w:rPr>
        <w:t xml:space="preserve">2021 IEEE International Geoscience and Remote Sensing Symposium IGARSS</w:t>
      </w:r>
      <w:r>
        <w:t xml:space="preserve">, 4704–4707. https://doi.org/10.1109/IGARSS47720.2021.9553499</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Guan, Q., Clarke, K. C., Liu, S., Wang, B., &amp; Yao, Y. (2021). Understanding the drivers of sustainable land expansion using a patch-generating land use simulation (PLUS) model: A case study in Wuhan, China.</w:t>
      </w:r>
      <w:r>
        <w:t xml:space="preserve"> </w:t>
      </w:r>
      <w:r>
        <w:rPr>
          <w:i/>
          <w:iCs/>
        </w:rPr>
        <w:t xml:space="preserve">Computers, Environment and Urban Systems</w:t>
      </w:r>
      <w:r>
        <w:t xml:space="preserve">, 85, 101569. https://doi.org/10.1016/j.compenvurbsys.2020.101569</w:t>
      </w:r>
    </w:p>
    <w:p>
      <w:pPr>
        <w:pStyle w:val="BodyText"/>
      </w:pPr>
      <w:r>
        <w:t xml:space="preserve">Liu, X., Liang, X., Li, X., Xu, X., Ou, J., Chen, Y., Li, S., Wang, S., &amp; Pei, F.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OpenStreetMap contributors. (2026). Abu Dhabi city boundary, relation 4479763 [Data set; retrieved 1 August 2026; geometry documented in boundary_manifest.json]. https://www.openstreetmap.org/relation/4479763</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w:t>
      </w:r>
      <w:r>
        <w:t xml:space="preserve">, 12, 2825–2830. https://jmlr.org/papers/v12/pedregosa11a.html</w:t>
      </w:r>
    </w:p>
    <w:p>
      <w:pPr>
        <w:pStyle w:val="BodyText"/>
      </w:pPr>
      <w:r>
        <w:t xml:space="preserve">Pontius, R. G., Jr., Boersma, W., Castella, J.-C., Clarke, K., de Nijs, T., Dietzel, C., Duan, Z., Fotsing, E., Goldstein, N., Kok, K., Koomen, E., Lippitt, C. D., McConnell, W., Mohd Sood, A., Pijanowski, B., Pithadia, S., Sweeney, S., Trung, T. N., Veldkamp, A. T., &amp; Verburg, P. H. (2008). Comparing the input, output, and validation maps for several models of land change.</w:t>
      </w:r>
      <w:r>
        <w:t xml:space="preserve"> </w:t>
      </w:r>
      <w:r>
        <w:rPr>
          <w:i/>
          <w:iCs/>
        </w:rPr>
        <w:t xml:space="preserve">The Annals of Regional Science</w:t>
      </w:r>
      <w:r>
        <w:t xml:space="preserve">, 42, 11–37. https://doi.org/10.1007/s00168-007-0138-2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https://doi.org/10.1080/01431161.2011.552923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https://doi.org/10.1016/S0198-9715(01)00014-X</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&amp; Hagen-Zanker, A. (2011). Revisiting Kappa to account for change in the accuracy assessment of land-use change models.</w:t>
      </w:r>
      <w:r>
        <w:t xml:space="preserve"> </w:t>
      </w:r>
      <w:r>
        <w:rPr>
          <w:i/>
          <w:iCs/>
        </w:rPr>
        <w:t xml:space="preserve">Ecological Modelling</w:t>
      </w:r>
      <w:r>
        <w:t xml:space="preserve">, 222, 1367–1375. https://doi.org/10.1016/j.ecolmodel.2011.01.017</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Soepboer, W., Veldkamp, A., Limpiada, R., Espaldon, V., &amp; Mastura, S. S. A. (2002). Modeling the spatial dynamics of regional land use: the CLUE-S model.</w:t>
      </w:r>
      <w:r>
        <w:t xml:space="preserve"> </w:t>
      </w:r>
      <w:r>
        <w:rPr>
          <w:i/>
          <w:iCs/>
        </w:rPr>
        <w:t xml:space="preserve">Environmental Management</w:t>
      </w:r>
      <w:r>
        <w:t xml:space="preserve">, 30, 391–405. https://doi.org/10.1007/s00267-002-2630-x</w:t>
      </w:r>
    </w:p>
    <w:p>
      <w:pPr>
        <w:pStyle w:val="BodyText"/>
      </w:pPr>
      <w:r>
        <w:t xml:space="preserve">Zanaga, D., Van De Kerchove, R., De Keersmaecker, W., Souverijns, N., Brockmann, C., Quast, R., Wevers, J., Grosu, A., Paccini, A., Vergnaud, S., Cartus, O., Santoro, M., Fritz, S., Georgieva, I., Lesiv, M., Carter, S., Herold, M., Li, L., Tsendbazar, N.-E., Ramoino, F., &amp; Arino, O. (2021). ESA WorldCover 10 m 2020 v100 [Data set]. Zenodo. https://doi.org/10.5281/zenodo.5571936</w:t>
      </w:r>
    </w:p>
    <w:p>
      <w:pPr>
        <w:pStyle w:val="BodyText"/>
      </w:pPr>
      <w:r>
        <w:t xml:space="preserve">Zanaga, D., Van De Kerchove, R., Daems, D., De Keersmaecker, W., Brockmann, C., Kirches, G., Wevers, J., Cartus, O., Santoro, M., Fritz, S., Lesiv, M., Herold, M., Tsendbazar, N.-E., Xu, P., Ramoino, F., &amp; Arino, O. (2022). ESA WorldCover 10 m 2021 v200 [Data set]. Zenodo. https://doi.org/10.5281/zenodo.7254221</w:t>
      </w:r>
    </w:p>
    <w:bookmarkEnd w:id="57"/>
    <w:bookmarkStart w:id="58" w:name="supplementary-information-outline"/>
    <w:p>
      <w:pPr>
        <w:pStyle w:val="Heading2"/>
      </w:pPr>
      <w:r>
        <w:t xml:space="preserve">Supplementary information outline</w:t>
      </w:r>
    </w:p>
    <w:p>
      <w:pPr>
        <w:pStyle w:val="Compact"/>
        <w:numPr>
          <w:ilvl w:val="0"/>
          <w:numId w:val="1003"/>
        </w:numPr>
      </w:pPr>
      <w:r>
        <w:rPr>
          <w:b/>
          <w:bCs/>
        </w:rPr>
        <w:t xml:space="preserve">Supplementary Table S1:</w:t>
      </w:r>
      <w:r>
        <w:t xml:space="preserve"> </w:t>
      </w:r>
      <w:r>
        <w:t xml:space="preserve">ArcGIS-served 2031 model–scenario objective profiles with per-seed dispersion (see</w:t>
      </w:r>
      <w:r>
        <w:t xml:space="preserve"> </w:t>
      </w:r>
      <w:r>
        <w:rPr>
          <w:rStyle w:val="VerbatimChar"/>
        </w:rPr>
        <w:t xml:space="preserve">supplementary_table_S1_arcgis_planning_objectives.md</w:t>
      </w:r>
      <w:r>
        <w:t xml:space="preserve">).</w:t>
      </w:r>
    </w:p>
    <w:p>
      <w:pPr>
        <w:pStyle w:val="Compact"/>
        <w:numPr>
          <w:ilvl w:val="0"/>
          <w:numId w:val="1003"/>
        </w:numPr>
      </w:pPr>
      <w:r>
        <w:rPr>
          <w:b/>
          <w:bCs/>
        </w:rPr>
        <w:t xml:space="preserve">Supplementary Table S2:</w:t>
      </w:r>
      <w:r>
        <w:t xml:space="preserve"> </w:t>
      </w:r>
      <w:r>
        <w:t xml:space="preserve">Neighbourhood-weight sensitivity at 0, 0.175, 0.35 and 0.7 (see</w:t>
      </w:r>
      <w:r>
        <w:t xml:space="preserve"> </w:t>
      </w:r>
      <w:r>
        <w:rPr>
          <w:rStyle w:val="VerbatimChar"/>
        </w:rPr>
        <w:t xml:space="preserve">supplementary_table_S2_neighbourhood_weight_sensitivity.md</w:t>
      </w:r>
      <w:r>
        <w:t xml:space="preserve">).</w:t>
      </w:r>
    </w:p>
    <w:p>
      <w:pPr>
        <w:pStyle w:val="Compact"/>
        <w:numPr>
          <w:ilvl w:val="0"/>
          <w:numId w:val="1003"/>
        </w:numPr>
      </w:pPr>
      <w:r>
        <w:rPr>
          <w:b/>
          <w:bCs/>
        </w:rPr>
        <w:t xml:space="preserve">Supplementary Table S3:</w:t>
      </w:r>
      <w:r>
        <w:t xml:space="preserve"> </w:t>
      </w:r>
      <w:r>
        <w:t xml:space="preserve">FLUS 13-, 19- and 25-feature diagnostics, platform boundary and demand-underfill evidence (see</w:t>
      </w:r>
      <w:r>
        <w:t xml:space="preserve"> </w:t>
      </w:r>
      <w:r>
        <w:rPr>
          <w:rStyle w:val="VerbatimChar"/>
        </w:rPr>
        <w:t xml:space="preserve">supplementary_table_S3_flus_feature_diagnostics.md</w:t>
      </w:r>
      <w:r>
        <w:t xml:space="preserve">).</w:t>
      </w:r>
    </w:p>
    <w:p>
      <w:pPr>
        <w:pStyle w:val="Compact"/>
        <w:numPr>
          <w:ilvl w:val="0"/>
          <w:numId w:val="1003"/>
        </w:numPr>
      </w:pPr>
      <w:r>
        <w:rPr>
          <w:b/>
          <w:bCs/>
        </w:rPr>
        <w:t xml:space="preserve">Supplementary Table S4:</w:t>
      </w:r>
      <w:r>
        <w:t xml:space="preserve"> </w:t>
      </w:r>
      <w:r>
        <w:t xml:space="preserve">Annual six-class Dynamic World-to-ArcGIS product matrices on the paired grid (see</w:t>
      </w:r>
      <w:r>
        <w:t xml:space="preserve"> </w:t>
      </w:r>
      <w:r>
        <w:rPr>
          <w:rStyle w:val="VerbatimChar"/>
        </w:rPr>
        <w:t xml:space="preserve">supplementary_table_S4_cross_product_class_matrices.md</w:t>
      </w:r>
      <w:r>
        <w:t xml:space="preserve">).</w:t>
      </w:r>
    </w:p>
    <w:p>
      <w:pPr>
        <w:pStyle w:val="Compact"/>
        <w:numPr>
          <w:ilvl w:val="0"/>
          <w:numId w:val="1003"/>
        </w:numPr>
      </w:pPr>
      <w:r>
        <w:rPr>
          <w:b/>
          <w:bCs/>
        </w:rPr>
        <w:t xml:space="preserve">Supplementary Table S5:</w:t>
      </w:r>
      <w:r>
        <w:t xml:space="preserve"> </w:t>
      </w:r>
      <w:r>
        <w:t xml:space="preserve">Rolling-origin and WorldCover external-product diagnostics (see</w:t>
      </w:r>
      <w:r>
        <w:t xml:space="preserve"> </w:t>
      </w:r>
      <w:r>
        <w:rPr>
          <w:rStyle w:val="VerbatimChar"/>
        </w:rPr>
        <w:t xml:space="preserve">supplementary_table_S5_rolling_external_diagnostics.md</w:t>
      </w:r>
      <w:r>
        <w:t xml:space="preserve">).</w:t>
      </w:r>
    </w:p>
    <w:p>
      <w:pPr>
        <w:pStyle w:val="Compact"/>
        <w:numPr>
          <w:ilvl w:val="0"/>
          <w:numId w:val="1003"/>
        </w:numPr>
      </w:pPr>
      <w:r>
        <w:rPr>
          <w:b/>
          <w:bCs/>
        </w:rPr>
        <w:t xml:space="preserve">Supplementary Table S6:</w:t>
      </w:r>
      <w:r>
        <w:t xml:space="preserve"> </w:t>
      </w:r>
      <w:r>
        <w:t xml:space="preserve">Matched Dynamic World and ArcGIS-served whole-product-pipeline backtests (see</w:t>
      </w:r>
      <w:r>
        <w:t xml:space="preserve"> </w:t>
      </w:r>
      <w:r>
        <w:rPr>
          <w:rStyle w:val="VerbatimChar"/>
        </w:rPr>
        <w:t xml:space="preserve">supplementary_table_S6_product_robustness.md</w:t>
      </w:r>
      <w:r>
        <w:t xml:space="preserve">).</w:t>
      </w:r>
    </w:p>
    <w:p>
      <w:pPr>
        <w:pStyle w:val="Compact"/>
        <w:numPr>
          <w:ilvl w:val="0"/>
          <w:numId w:val="1003"/>
        </w:numPr>
      </w:pPr>
      <w:r>
        <w:rPr>
          <w:b/>
          <w:bCs/>
        </w:rPr>
        <w:t xml:space="preserve">Supplementary Table S7:</w:t>
      </w:r>
      <w:r>
        <w:t xml:space="preserve"> </w:t>
      </w:r>
      <w:r>
        <w:t xml:space="preserve">Net-change FoM upper bounds and 54 seed-specific paired model intervals (see</w:t>
      </w:r>
      <w:r>
        <w:t xml:space="preserve"> </w:t>
      </w:r>
      <w:r>
        <w:rPr>
          <w:rStyle w:val="VerbatimChar"/>
        </w:rPr>
        <w:t xml:space="preserve">supplementary_table_S7_allocation_limits.md</w:t>
      </w:r>
      <w:r>
        <w:t xml:space="preserve">).</w:t>
      </w:r>
    </w:p>
    <w:p>
      <w:pPr>
        <w:pStyle w:val="Compact"/>
        <w:numPr>
          <w:ilvl w:val="0"/>
          <w:numId w:val="1003"/>
        </w:numPr>
      </w:pPr>
      <w:r>
        <w:rPr>
          <w:b/>
          <w:bCs/>
        </w:rPr>
        <w:t xml:space="preserve">Fig. S1:</w:t>
      </w:r>
      <w:r>
        <w:t xml:space="preserve"> </w:t>
      </w:r>
      <w:r>
        <w:t xml:space="preserve">Full 3-scenarios × 3-model 2031 new-built footprint atlas (</w:t>
      </w:r>
      <w:r>
        <w:rPr>
          <w:rStyle w:val="VerbatimChar"/>
        </w:rPr>
        <w:t xml:space="preserve">figures/figS01_planning_atlas_2031.*</w:t>
      </w:r>
      <w:r>
        <w:t xml:space="preserve">).</w:t>
      </w:r>
    </w:p>
    <w:p>
      <w:pPr>
        <w:pStyle w:val="Compact"/>
        <w:numPr>
          <w:ilvl w:val="0"/>
          <w:numId w:val="1003"/>
        </w:numPr>
      </w:pPr>
      <w:r>
        <w:rPr>
          <w:b/>
          <w:bCs/>
        </w:rPr>
        <w:t xml:space="preserve">Fig. S2:</w:t>
      </w:r>
      <w:r>
        <w:t xml:space="preserve"> </w:t>
      </w:r>
      <w:r>
        <w:t xml:space="preserve">Dynamic World quality proxy and quality-filtered change sensitivity (</w:t>
      </w:r>
      <w:r>
        <w:rPr>
          <w:rStyle w:val="VerbatimChar"/>
        </w:rPr>
        <w:t xml:space="preserve">figures/figS02_input_label_quality.*</w:t>
      </w:r>
      <w:r>
        <w:t xml:space="preserve">).</w:t>
      </w:r>
    </w:p>
    <w:p>
      <w:pPr>
        <w:pStyle w:val="Compact"/>
        <w:numPr>
          <w:ilvl w:val="0"/>
          <w:numId w:val="1003"/>
        </w:numPr>
      </w:pPr>
      <w:r>
        <w:rPr>
          <w:b/>
          <w:bCs/>
        </w:rPr>
        <w:t xml:space="preserve">Fig. S3:</w:t>
      </w:r>
      <w:r>
        <w:t xml:space="preserve"> </w:t>
      </w:r>
      <w:r>
        <w:t xml:space="preserve">Historical maps and change-error maps for 2024 (</w:t>
      </w:r>
      <w:r>
        <w:rPr>
          <w:rStyle w:val="VerbatimChar"/>
        </w:rPr>
        <w:t xml:space="preserve">figures/figS03_historical_2024_maps_and_errors.*</w:t>
      </w:r>
      <w:r>
        <w:t xml:space="preserve">).</w:t>
      </w:r>
    </w:p>
    <w:p>
      <w:pPr>
        <w:pStyle w:val="Compact"/>
        <w:numPr>
          <w:ilvl w:val="0"/>
          <w:numId w:val="1003"/>
        </w:numPr>
      </w:pPr>
      <w:r>
        <w:rPr>
          <w:b/>
          <w:bCs/>
        </w:rPr>
        <w:t xml:space="preserve">Fig. S4:</w:t>
      </w:r>
      <w:r>
        <w:t xml:space="preserve"> </w:t>
      </w:r>
      <w:r>
        <w:t xml:space="preserve">Driver layers and unified experiment design. Continuous maps are clipped to the 2nd–98th valid-pixel percentiles unless stated otherwise. The schematic uses one coordinate system to keep arrows aligned and shows that the models change spatial allocation while the grid, actions, constraints and evaluator remain fixed (</w:t>
      </w:r>
      <w:r>
        <w:rPr>
          <w:rStyle w:val="VerbatimChar"/>
        </w:rPr>
        <w:t xml:space="preserve">figures/figS04_driver_layers_and_experiment_design.*</w:t>
      </w:r>
      <w:r>
        <w:t xml:space="preserve">).</w:t>
      </w:r>
    </w:p>
    <w:p>
      <w:r>
        <w:pict>
          <v:rect style="width:0;height:1.5pt" o:hralign="center" o:hrstd="t" o:hr="t"/>
        </w:pict>
      </w:r>
    </w:p>
    <w:bookmarkEnd w:id="58"/>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olor w:val="000000"/>
      <w:sz w:val="22"/>
    </w:rPr>
  </w:style>
  <w:style w:styleId="BodyText" w:type="paragraph">
    <w:name w:val="Body Text"/>
    <w:basedOn w:val="Normal"/>
    <w:link w:val="BodyTextChar"/>
    <w:qFormat/>
    <w:pPr>
      <w:spacing w:after="180" w:before="180"/>
    </w:pPr>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26" Type="http://schemas.openxmlformats.org/officeDocument/2006/relationships/image" Target="media/rId26.png"/><Relationship Id="rId30" Type="http://schemas.openxmlformats.org/officeDocument/2006/relationships/image" Target="media/rId30.png"/><Relationship Id="rId34" Type="http://schemas.openxmlformats.org/officeDocument/2006/relationships/image" Target="media/rId34.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2026-09-11T13:55:55Z</dcterms:created>
  <dcterms:modified xsi:type="dcterms:W3CDTF">2026-09-11T13:55:55Z</dcterms:modified>
</cp:coreProperties>
</file>

<file path=docProps/custom.xml><?xml version="1.0" encoding="utf-8"?>
<Properties xmlns="http://schemas.openxmlformats.org/officeDocument/2006/custom-properties" xmlns:vt="http://schemas.openxmlformats.org/officeDocument/2006/docPropsVTypes"/>
</file>