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annual land-cover product uncertainty</w:t>
      </w:r>
    </w:p>
    <w:p>
      <w:pPr>
        <w:pStyle w:val="Author"/>
      </w:pPr>
    </w:p>
    <w:bookmarkStart w:id="9" w:name="abstract"/>
    <w:p>
      <w:pPr>
        <w:pStyle w:val="Heading2"/>
      </w:pPr>
      <w:r>
        <w:t xml:space="preserve">Abstract</w:t>
      </w:r>
    </w:p>
    <w:p>
      <w:pPr>
        <w:pStyle w:val="FirstParagraph"/>
      </w:pPr>
      <w:r>
        <w:t xml:space="preserve">Public land-cover products are often used where authoritative local time series are unavailable, but product choice and temporal discontinuities can alter apparent urban change and model rankings. We present an auditable protocol for constrained spatial allocation using Geospatial Kernel, the execution layer of a Geospatial World Model. Annual 10-m Google Dynamic World (2017–2024) and ArcGIS-served Impact Observatory/Microsoft/Esri (2017–2025) products for Abu Dhabi city were harmonized to a 100-m, six-class contract. Leakage-controlled expanding-window tests compared a FLUS-style ANN–CA, Geospatial Kernel, GeoFM-LDN, persistence and random minimum-change allocation, using three seeds and 1,000 spatial-block resamples. Target-year labels supplied oracle class totals and evaluation only. In 2024, ArcGIS mapped 335.57 km² built versus 155.98 km² in Dynamic World (built IoU 0.449). Its built stock rose 30.6% from 2021 to 2022 while wetland and woody classes subsequently collapsed, indicating an unreconciled product-series break rather than verified city change. Kernel had the highest mean FoM in all four Dynamic World targets and two matched ArcGIS targets, without universal paired-interval separation. Excluding the discontinuity target, ArcGIS-minus-Dynamic World FoM was negative for Kernel (-0.244 to -0.014) and GeoFM-LDN (-0.215 to -0.010), whereas FLUS ranged from -0.100 to +0.023. Exact minimum-change allocators faced product-specific FoM upper bounds of 0.086–0.813 (0.086–0.665 excluding 2022). Product-specific 2031 frontiers retained FLUS-style and Kernel candidates but changed objective trade-offs. The results support an inspectable proposal–projection–writeback boundary while showing comparative skill is label-product dependent. Neither product is authoritative local land-use truth, and 2026–2031 maps are 100-m conditional stress tests.</w:t>
      </w:r>
    </w:p>
    <w:bookmarkEnd w:id="9"/>
    <w:bookmarkStart w:id="10" w:name="highlights"/>
    <w:p>
      <w:pPr>
        <w:pStyle w:val="Heading2"/>
      </w:pPr>
      <w:r>
        <w:t xml:space="preserve">Highlights</w:t>
      </w:r>
    </w:p>
    <w:p>
      <w:pPr>
        <w:pStyle w:val="Compact"/>
        <w:numPr>
          <w:ilvl w:val="0"/>
          <w:numId w:val="1001"/>
        </w:numPr>
      </w:pPr>
      <w:r>
        <w:t xml:space="preserve">Cross-product backtests expose product dependence and a series discontinuity.</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exact minimum-change scores, not CA scores.</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p>
      <w:pPr>
        <w:pStyle w:val="BodyText"/>
      </w:pPr>
      <w:r>
        <w:t xml:space="preserve">The random minimum-change controls are deterministic within each analysis but</w:t>
      </w:r>
      <w:r>
        <w:t xml:space="preserve"> </w:t>
      </w:r>
      <w:r>
        <w:t xml:space="preserve">not a shared cross-table estimator: the rolling-origin diagnostic derives its</w:t>
      </w:r>
      <w:r>
        <w:t xml:space="preserve"> </w:t>
      </w:r>
      <w:r>
        <w:t xml:space="preserve">stream from the declared seed plus origin year × 1,000, whereas the matched</w:t>
      </w:r>
      <w:r>
        <w:t xml:space="preserve"> </w:t>
      </w:r>
      <w:r>
        <w:t xml:space="preserve">product analysis uses the declared seed plus target year × 1,000. Their values</w:t>
      </w:r>
      <w:r>
        <w:t xml:space="preserve"> </w:t>
      </w:r>
      <w:r>
        <w:t xml:space="preserve">therefore serve as local zero controls in Supplementary Tables S5 and S6,</w:t>
      </w:r>
      <w:r>
        <w:t xml:space="preserve"> </w:t>
      </w:r>
      <w:r>
        <w:t xml:space="preserve">respectively, and are not compared numerically across those tables.</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annual label and the two quality bands were exported directly to the canonical 100-m transform with Earth Engine’s default nearest-neighbour resampling; no post-export 10 × 10 arithmetic or modal aggregation was applied.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associated Living Atlas item states that its 2018–2025 layers use a more complete image collection and cautions that 2017 may be less accurate (Esri, 2026). It does not disclose annual model-version identifiers.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w:t>
      </w:r>
    </w:p>
    <w:p>
      <w:pPr>
        <w:pStyle w:val="BodyText"/>
      </w:pPr>
      <w:r>
        <w:t xml:space="preserve">The service labels are Water (1), Trees (2), Flooded vegetation (4), Crops (5), Built (7), Bare (8), Snow/Ice (9), Clouds (10) and Rangeland (11). We mapped them to water (1), woody vegetation (2), wetland (4), low vegetation (5 and 11), built (7) and bare (8), excluding snow/ice and clouds. Mapping Rangeland to low vegetation is a study crosswalk decision, not an official land-use statement. A descriptive counterfactual mapping it to bare before the same 10 × 10 majority aggregation changes 2,265–2,792 100-m labels per year (Supplementary Table S6); no model was refit, so this does not establish rank sensitivity.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dated upstream PBF URL is no longer live and that snapshot is not distributed in this revision; the archived derived road-distance rasters, their checksums and the materialization manifest are the reproducible model inputs.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(study-specific build; an anonymized source tag)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binary was rebuilt from an earlier revision of the same anonymized source repository; the retained source release adds invalid-input failure handling only. Both revisions contain the study-specific</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for ANN sampling and CA roulette draws, so the build is not the unmodified upstream executable.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a public source base with study-specific</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its exact source is available in the anonymized source repository.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Dynamic World quality-proxy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quality-proxy value of the year immediately preceding the</w:t>
      </w:r>
      <w:r>
        <w:t xml:space="preserve"> </w:t>
      </w:r>
      <w:r>
        <w:t xml:space="preserve">target avoids filtering on the target-year quality proxy,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 maintainer-run</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The complete 6 × 6 annual cross-product matrices are supplied with the source</w:t>
      </w:r>
      <w:r>
        <w:t xml:space="preserve"> </w:t>
      </w:r>
      <w:r>
        <w:t xml:space="preserve">data and in Supplementary Table S4. In 2021, 2022 and 2024, 61.3–68.3% of</w:t>
      </w:r>
      <w:r>
        <w:t xml:space="preserve"> </w:t>
      </w:r>
      <w:r>
        <w:t xml:space="preserve">discordant cells were Dynamic World bare mapped as ArcGIS-served built (13,078,</w:t>
      </w:r>
      <w:r>
        <w:t xml:space="preserve"> </w:t>
      </w:r>
      <w:r>
        <w:t xml:space="preserve">18,787 and 17,987 cells, respectively); a further 3,723–4,496 cells per year</w:t>
      </w:r>
      <w:r>
        <w:t xml:space="preserve"> </w:t>
      </w:r>
      <w:r>
        <w:t xml:space="preserve">were Dynamic World bare mapped as ArcGIS-served water. Those transition counts</w:t>
      </w:r>
      <w:r>
        <w:t xml:space="preserve"> </w:t>
      </w:r>
      <w:r>
        <w:t xml:space="preserve">use the pairwise common-coverage grid. The ArcGIS-served product also mapped</w:t>
      </w:r>
      <w:r>
        <w:t xml:space="preserve"> </w:t>
      </w:r>
      <w:r>
        <w:t xml:space="preserve">4,501, 4,985 and 5,131 more water cells than Dynamic World in those three</w:t>
      </w:r>
      <w:r>
        <w:t xml:space="preserve"> </w:t>
      </w:r>
      <w:r>
        <w:t xml:space="preserve">years, using each product’s own valid-cell total (whose denominator differs by</w:t>
      </w:r>
      <w:r>
        <w:t xml:space="preserve"> </w:t>
      </w:r>
      <w:r>
        <w:t xml:space="preserve">18–23 cells from the paired grid). Because origin-year water and wetland are</w:t>
      </w:r>
      <w:r>
        <w:t xml:space="preserve"> </w:t>
      </w:r>
      <w:r>
        <w:t xml:space="preserve">hard masks, this product difference reduces the feasible allocation domain in</w:t>
      </w:r>
      <w:r>
        <w:t xml:space="preserve"> </w:t>
      </w:r>
      <w:r>
        <w:t xml:space="preserve">the ArcGIS track. It is therefore a pipeline difference, not an isolated</w:t>
      </w:r>
      <w:r>
        <w:t xml:space="preserve"> </w:t>
      </w:r>
      <w:r>
        <w:t xml:space="preserve">replacement of target labels.</w:t>
      </w:r>
    </w:p>
    <w:p>
      <w:pPr>
        <w:pStyle w:val="BodyText"/>
      </w:pPr>
      <w:r>
        <w:t xml:space="preserve">The ArcGIS-served sequence is also not temporally homogeneous under this</w:t>
      </w:r>
      <w:r>
        <w:t xml:space="preserve"> </w:t>
      </w:r>
      <w:r>
        <w:t xml:space="preserve">crosswalk. Its mapped built cells rise from 21,608 in 2021 to 28,214 in 2022</w:t>
      </w:r>
      <w:r>
        <w:t xml:space="preserve"> </w:t>
      </w:r>
      <w:r>
        <w:t xml:space="preserve">(+30.6%), while bare cells fall from 34,521 to 27,821. Woody vegetation declines</w:t>
      </w:r>
      <w:r>
        <w:t xml:space="preserve"> </w:t>
      </w:r>
      <w:r>
        <w:t xml:space="preserve">from 293 cells in 2021 to 22 in 2023 and 2 in 2025; wetland similarly declines</w:t>
      </w:r>
      <w:r>
        <w:t xml:space="preserve"> </w:t>
      </w:r>
      <w:r>
        <w:t xml:space="preserve">from 792 to 24 and 17. Supplementary Table S6 reports all annual class stocks,</w:t>
      </w:r>
      <w:r>
        <w:t xml:space="preserve"> </w:t>
      </w:r>
      <w:r>
        <w:t xml:space="preserve">the crosswalk sensitivity and product-agreement data. Dynamic World, in contrast,</w:t>
      </w:r>
      <w:r>
        <w:t xml:space="preserve"> </w:t>
      </w:r>
      <w:r>
        <w:t xml:space="preserve">retains roughly 900–1,100 wetland cells and 311–917 woody cells. The Living Atlas</w:t>
      </w:r>
      <w:r>
        <w:t xml:space="preserve"> </w:t>
      </w:r>
      <w:r>
        <w:t xml:space="preserve">documentation flags a different 2017 imagery basis but provides no annual</w:t>
      </w:r>
      <w:r>
        <w:t xml:space="preserve"> </w:t>
      </w:r>
      <w:r>
        <w:t xml:space="preserve">model-version history, so we cannot attribute the 2021–2023 break to a specific</w:t>
      </w:r>
      <w:r>
        <w:t xml:space="preserve"> </w:t>
      </w:r>
      <w:r>
        <w:t xml:space="preserve">service change. It must not be read as observed city conversion. In particular,</w:t>
      </w:r>
      <w:r>
        <w:t xml:space="preserve"> </w:t>
      </w:r>
      <w:r>
        <w:t xml:space="preserve">the high 2022 ArcGIS score evaluates allocation against a target whose class</w:t>
      </w:r>
      <w:r>
        <w:t xml:space="preserve"> </w:t>
      </w:r>
      <w:r>
        <w:t xml:space="preserve">totals partly encode this discontinuity; it is not evidence that the model</w:t>
      </w:r>
      <w:r>
        <w:t xml:space="preserve"> </w:t>
      </w:r>
      <w:r>
        <w:t xml:space="preserve">recovered a verified one-year construction event. The ArcGIS 2025 planning origin</w:t>
      </w:r>
      <w:r>
        <w:t xml:space="preserve"> </w:t>
      </w:r>
      <w:r>
        <w:t xml:space="preserve">likewise contains only two woody and 17 wetland cells. Water and wetland masks</w:t>
      </w:r>
      <w:r>
        <w:t xml:space="preserve"> </w:t>
      </w:r>
      <w:r>
        <w:t xml:space="preserve">remain hard exclusions, but ecological semantics attached to the latter class are</w:t>
      </w:r>
      <w:r>
        <w:t xml:space="preserve"> </w:t>
      </w:r>
      <w:r>
        <w:t xml:space="preserve">structurally sparse in that product track.</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had the highest mean in the</w:t>
      </w:r>
      <w:r>
        <w:t xml:space="preserve"> </w:t>
      </w:r>
      <w:r>
        <w:t xml:space="preserve">ArcGIS-served 2021 target (0.0625 versus Kernel 0.0154 and GeoFM-LDN 0.0314),</w:t>
      </w:r>
      <w:r>
        <w:t xml:space="preserve"> </w:t>
      </w:r>
      <w:r>
        <w:t xml:space="preserve">but this is not a like-for-like minimum-change comparison: FLUS changed</w:t>
      </w:r>
      <w:r>
        <w:t xml:space="preserve"> </w:t>
      </w:r>
      <w:r>
        <w:t xml:space="preserve">779–6,860 cells across seeds whereas the other three allocators changed exactly</w:t>
      </w:r>
      <w:r>
        <w:t xml:space="preserve"> </w:t>
      </w:r>
      <w:r>
        <w:t xml:space="preserve">278.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The positive 2022</w:t>
      </w:r>
      <w:r>
        <w:t xml:space="preserve"> </w:t>
      </w:r>
      <w:r>
        <w:t xml:space="preserve">difference is the target that follows the documented ArcGIS series break. With</w:t>
      </w:r>
      <w:r>
        <w:t xml:space="preserve"> </w:t>
      </w:r>
      <w:r>
        <w:t xml:space="preserve">that target excluded, ArcGIS-minus-Dynamic World differences remain negative</w:t>
      </w:r>
      <w:r>
        <w:t xml:space="preserve"> </w:t>
      </w:r>
      <w:r>
        <w:t xml:space="preserve">in every retained fold for Kernel (-0.244 to -0.014) and GeoFM-LDN (-0.215 to</w:t>
      </w:r>
      <w:r>
        <w:t xml:space="preserve"> </w:t>
      </w:r>
      <w:r>
        <w:t xml:space="preserve">-0.010); FLUS-style ANN–CA remains mixed (-0.100 to +0.023). This is a</w:t>
      </w:r>
      <w:r>
        <w:t xml:space="preserve"> </w:t>
      </w:r>
      <w:r>
        <w:t xml:space="preserve">directional sensitivity of agreement with product-specific labels, not a claim</w:t>
      </w:r>
      <w:r>
        <w:t xml:space="preserve"> </w:t>
      </w:r>
      <w:r>
        <w:t xml:space="preserve">that either product is more accurate. Thus the learned allocator contains</w:t>
      </w:r>
      <w:r>
        <w:t xml:space="preserve"> </w:t>
      </w:r>
      <w:r>
        <w:t xml:space="preserve">repeatable spatial signal relative to its zero model, while its absolute score</w:t>
      </w:r>
      <w:r>
        <w:t xml:space="preserve"> </w:t>
      </w:r>
      <w:r>
        <w:t xml:space="preserve">and rank remain dependent on the product pipeline. Supplementary Table S6 gives</w:t>
      </w:r>
      <w:r>
        <w:t xml:space="preserve"> </w:t>
      </w:r>
      <w:r>
        <w:t xml:space="preserve">both interval definitions, and Supplementary Table S7 reports all seed-specific</w:t>
      </w:r>
      <w:r>
        <w:t xml:space="preserve"> </w:t>
      </w:r>
      <w:r>
        <w:t xml:space="preserve">paired intervals for Kernel versus FLUS-style and GeoFM-LDN versus Kernel. In</w:t>
      </w:r>
      <w:r>
        <w:t xml:space="preserve"> </w:t>
      </w:r>
      <w:r>
        <w:t xml:space="preserve">the ArcGIS 2023 target, all three GeoFM-LDN-minus-Kernel intervals include zero</w:t>
      </w:r>
      <w:r>
        <w:t xml:space="preserve"> </w:t>
      </w:r>
      <w:r>
        <w:t xml:space="preserve">despite Kernel’s higher mean; in 2024, two exclude zero in Kernel’s favour and</w:t>
      </w:r>
      <w:r>
        <w:t xml:space="preserve"> </w:t>
      </w:r>
      <w:r>
        <w:t xml:space="preserve">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The FLUS mean</w:t>
      </w:r>
      <w:r>
        <w:t xml:space="preserve"> </w:t>
      </w:r>
      <w:r>
        <w:t xml:space="preserve">is driven upward by its seed-73 result (6,693 changed cells; FoM 0.1052), while</w:t>
      </w:r>
      <w:r>
        <w:t xml:space="preserve"> </w:t>
      </w:r>
      <w:r>
        <w:t xml:space="preserve">its other two seeds (1,651 and 957 changed cells; FoM 0.0632 and 0.0510) overlap</w:t>
      </w:r>
      <w:r>
        <w:t xml:space="preserve"> </w:t>
      </w:r>
      <w:r>
        <w:t xml:space="preserve">the Kernel seed range. Kernel is therefore not the numerical leader in that fold,</w:t>
      </w:r>
      <w:r>
        <w:t xml:space="preserve"> </w:t>
      </w:r>
      <w:r>
        <w:t xml:space="preserve">but neither is a seed-pooled claim of FLUS superiority supported. Block-size</w:t>
      </w:r>
      <w:r>
        <w:t xml:space="preserve"> </w:t>
      </w:r>
      <w:r>
        <w:t xml:space="preserve">sensitivity has not been established, and repeated seeds do not constitute</w:t>
      </w:r>
      <w:r>
        <w:t xml:space="preserve"> </w:t>
      </w:r>
      <w:r>
        <w:t xml:space="preserve">independent 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for</w:t>
      </w:r>
      <w:r>
        <w:t xml:space="preserve"> </w:t>
      </w:r>
      <w:r>
        <w:t xml:space="preserve">the exact minimum-change projections only.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Across all ArcGIS folds the bound spans</w:t>
      </w:r>
      <w:r>
        <w:t xml:space="preserve"> </w:t>
      </w:r>
      <w:r>
        <w:t xml:space="preserve">0.0858–0.8127, but excluding the 2022 series-break target it spans only</w:t>
      </w:r>
      <w:r>
        <w:t xml:space="preserve"> </w:t>
      </w:r>
      <w:r>
        <w:t xml:space="preserve">0.0858–0.6651.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Supplementary Table S7 also shows that FLUS already permits</w:t>
      </w:r>
      <w:r>
        <w:t xml:space="preserve"> </w:t>
      </w:r>
      <w:r>
        <w:t xml:space="preserve">simultaneous class inflows and outflows: its altered-cell totals span 1.1–24.7</w:t>
      </w:r>
      <w:r>
        <w:t xml:space="preserve"> </w:t>
      </w:r>
      <w:r>
        <w:t xml:space="preserve">times M across the ArcGIS folds. The bounds therefore do not explain its 2021</w:t>
      </w:r>
      <w:r>
        <w:t xml:space="preserve"> </w:t>
      </w:r>
      <w:r>
        <w:t xml:space="preserve">mean or constrain its FoM.</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The retained candidates trade</w:t>
      </w:r>
      <w:r>
        <w:t xml:space="preserve"> </w:t>
      </w:r>
      <w:r>
        <w:t xml:space="preserve">off different objectives after product replacement: in every ArcGIS scenario,</w:t>
      </w:r>
      <w:r>
        <w:t xml:space="preserve"> </w:t>
      </w:r>
      <w:r>
        <w:t xml:space="preserve">FLUS has lower mean major-road distance and lower union-built component density,</w:t>
      </w:r>
      <w:r>
        <w:t xml:space="preserve"> </w:t>
      </w:r>
      <w:r>
        <w:t xml:space="preserve">whereas Kernel has lower mean distance to pre-existing built cells (Supplementary</w:t>
      </w:r>
      <w:r>
        <w:t xml:space="preserve"> </w:t>
      </w:r>
      <w:r>
        <w:t xml:space="preserve">Table S1). Identical membership among three candidates therefore does not</w:t>
      </w:r>
      <w:r>
        <w:t xml:space="preserve"> </w:t>
      </w:r>
      <w:r>
        <w:t xml:space="preserve">establish spatial agreement, stable objective profiles or planning benefits.</w:t>
      </w:r>
      <w:r>
        <w:t xml:space="preserve"> </w:t>
      </w:r>
      <w:r>
        <w:t xml:space="preserve">Product-specific origins, horizons and actions also differ; this is not a</w:t>
      </w:r>
      <w:r>
        <w:t xml:space="preserve"> </w:t>
      </w:r>
      <w:r>
        <w:t xml:space="preserve">controlled experiment holding demand and initial 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480708"/>
            <wp:effectExtent b="0" l="0" r="0" t="0"/>
            <wp:docPr descr="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480708"/>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ArcGIS-origin bundle does not preserve the same objective ordering. In its</w:t>
      </w:r>
      <w:r>
        <w:t xml:space="preserve"> </w:t>
      </w:r>
      <w:r>
        <w:t xml:space="preserve">three scenarios, FLUS-style ANN–CA has lower mean distance to major roads</w:t>
      </w:r>
      <w:r>
        <w:t xml:space="preserve"> </w:t>
      </w:r>
      <w:r>
        <w:t xml:space="preserve">(368/366/389 m) and lower union-built component density (0.731/0.798/0.631 per</w:t>
      </w:r>
      <w:r>
        <w:t xml:space="preserve"> </w:t>
      </w:r>
      <w:r>
        <w:t xml:space="preserve">1,000 cells), whereas Kernel has lower mean distance to pre-existing built</w:t>
      </w:r>
      <w:r>
        <w:t xml:space="preserve"> </w:t>
      </w:r>
      <w:r>
        <w:t xml:space="preserve">cells (119/113/155 m; Supplementary Table S1). Thus the two retained frontier</w:t>
      </w:r>
      <w:r>
        <w:t xml:space="preserve"> </w:t>
      </w:r>
      <w:r>
        <w:t xml:space="preserve">members are stable as a set, but the dimension supporting each member changes</w:t>
      </w:r>
      <w:r>
        <w:t xml:space="preserve"> </w:t>
      </w:r>
      <w:r>
        <w:t xml:space="preserve">when the product-specific origin and actions change.</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5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6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7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ArcGIS series additionally has a pronounced internal</w:t>
      </w:r>
      <w:r>
        <w:t xml:space="preserve"> </w:t>
      </w:r>
      <w:r>
        <w:t xml:space="preserve">class-composition break between 2021 and 2023, with no published annual</w:t>
      </w:r>
      <w:r>
        <w:t xml:space="preserve"> </w:t>
      </w:r>
      <w:r>
        <w:t xml:space="preserve">model-version history. Its 2022 change prevalence and high GeoFM-LDN FoM may</w:t>
      </w:r>
      <w:r>
        <w:t xml:space="preserve"> </w:t>
      </w:r>
      <w:r>
        <w:t xml:space="preserve">therefore partly score a product reclassification rather than land-cover change;</w:t>
      </w:r>
      <w:r>
        <w:t xml:space="preserve"> </w:t>
      </w:r>
      <w:r>
        <w:t xml:space="preserve">the sparse ArcGIS wetland/woody states also weaken ecological interpretation of</w:t>
      </w:r>
      <w:r>
        <w:t xml:space="preserve"> </w:t>
      </w:r>
      <w:r>
        <w:t xml:space="preserve">the 2025-origin scenario track.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study-specific</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w:t>
      </w:r>
      <w:r>
        <w:t xml:space="preserve"> </w:t>
      </w:r>
      <w:r>
        <w:t xml:space="preserve">its headline comparison uses seven drivers. It is already a gross-transition</w:t>
      </w:r>
      <w:r>
        <w:t xml:space="preserve"> </w:t>
      </w:r>
      <w:r>
        <w:t xml:space="preserve">allocator: across ArcGIS folds it changes 1.1–24.7 times the exact minimum-change</w:t>
      </w:r>
      <w:r>
        <w:t xml:space="preserve"> </w:t>
      </w:r>
      <w:r>
        <w:t xml:space="preserve">budget while retaining near-zero demand error. This extra transition budget does</w:t>
      </w:r>
      <w:r>
        <w:t xml:space="preserve"> </w:t>
      </w:r>
      <w:r>
        <w:t xml:space="preserve">not itself deliver higher FoM: FLUS is below Kernel on Dynamic World 2021 despite</w:t>
      </w:r>
      <w:r>
        <w:t xml:space="preserve"> </w:t>
      </w:r>
      <w:r>
        <w:t xml:space="preserve">changing 4.4–5.2 times as many cells, and its apparent ArcGIS 2021/2025 mean</w:t>
      </w:r>
      <w:r>
        <w:t xml:space="preserve"> </w:t>
      </w:r>
      <w:r>
        <w:t xml:space="preserve">advantages occur where its seed-specific altered-cell totals are highly variable.</w:t>
      </w:r>
      <w:r>
        <w:t xml:space="preserve"> </w:t>
      </w:r>
      <w:r>
        <w:t xml:space="preserve">The next gross-transition experiment should therefore hold the proposal model,</w:t>
      </w:r>
      <w:r>
        <w:t xml:space="preserve"> </w:t>
      </w:r>
      <w:r>
        <w:t xml:space="preserve">candidate pool and constraints fixed rather than treating the existing FLUS</w:t>
      </w:r>
      <w:r>
        <w:t xml:space="preserve"> </w:t>
      </w:r>
      <w:r>
        <w:t xml:space="preserve">baseline as a direct test of Kernel’s projection.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candidate</w:t>
      </w:r>
      <w:r>
        <w:t xml:space="preserve"> </w:t>
      </w:r>
      <w:r>
        <w:t xml:space="preserve">pool and masks. The FLUS baseline provides only partial evidence because its</w:t>
      </w:r>
      <w:r>
        <w:t xml:space="preserve"> </w:t>
      </w:r>
      <w:r>
        <w:t xml:space="preserve">suitability learner, finite CA iterations and candidate mechanism also differ.</w:t>
      </w:r>
      <w:r>
        <w:t xml:space="preserve"> </w:t>
      </w:r>
      <w:r>
        <w:t xml:space="preserve">Neither independent reference validation nor this controlled gross-transition</w:t>
      </w:r>
      <w:r>
        <w:t xml:space="preserve"> </w:t>
      </w:r>
      <w:r>
        <w:t xml:space="preserve">experiment has been performed. They are requirements for extending the present</w:t>
      </w:r>
      <w:r>
        <w:t xml:space="preserve"> </w:t>
      </w:r>
      <w:r>
        <w:t xml:space="preserve">conditional 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changed</w:t>
      </w:r>
      <w:r>
        <w:t xml:space="preserve"> </w:t>
      </w:r>
      <w:r>
        <w:t xml:space="preserve">mapped built stock, transition prevalence and the leading model by year. The</w:t>
      </w:r>
      <w:r>
        <w:t xml:space="preserve"> </w:t>
      </w:r>
      <w:r>
        <w:t xml:space="preserve">only positive matched-product differences for the two exact-count learned</w:t>
      </w:r>
      <w:r>
        <w:t xml:space="preserve"> </w:t>
      </w:r>
      <w:r>
        <w:t xml:space="preserve">models occur in the 2022 target following the ArcGIS class-composition break;</w:t>
      </w:r>
      <w:r>
        <w:t xml:space="preserve"> </w:t>
      </w:r>
      <w:r>
        <w:t xml:space="preserve">outside that target, both Kernel and GeoFM-LDN have lower product-specific FoM</w:t>
      </w:r>
      <w:r>
        <w:t xml:space="preserve"> </w:t>
      </w:r>
      <w:r>
        <w:t xml:space="preserve">on every remaining paired fold. This is evidence of label-product dependence,</w:t>
      </w:r>
      <w:r>
        <w:t xml:space="preserve"> </w:t>
      </w:r>
      <w:r>
        <w:t xml:space="preserve">not evidence that either product is more accurate. Geospatial Kernel remained</w:t>
      </w:r>
      <w:r>
        <w:t xml:space="preserve"> </w:t>
      </w:r>
      <w:r>
        <w:t xml:space="preserve">consistently better than random minimum-change allocation, but it was not</w:t>
      </w:r>
      <w:r>
        <w:t xml:space="preserve"> </w:t>
      </w:r>
      <w:r>
        <w:t xml:space="preserve">universally the best learned model. Its strongest transferable property in this</w:t>
      </w:r>
      <w:r>
        <w:t xml:space="preserve"> </w:t>
      </w:r>
      <w:r>
        <w:t xml:space="preserve">experiment is therefore the auditable separation of learned proposal,</w:t>
      </w:r>
      <w:r>
        <w:t xml:space="preserve"> </w:t>
      </w:r>
      <w:r>
        <w:t xml:space="preserve">constrained projection and state writeback, not a product-independent accuracy</w:t>
      </w:r>
      <w:r>
        <w:t xml:space="preserve"> </w:t>
      </w:r>
      <w:r>
        <w:t xml:space="preserve">claim. The count-only bounds constrain only the exact minimum-change</w:t>
      </w:r>
      <w:r>
        <w:t xml:space="preserve"> </w:t>
      </w:r>
      <w:r>
        <w:t xml:space="preserve">projections; the FLUS baseline already shows that allowing more gross change</w:t>
      </w:r>
      <w:r>
        <w:t xml:space="preserve"> </w:t>
      </w:r>
      <w:r>
        <w:t xml:space="preserve">alone does not determine FoM. A controlled gross-transition comparison must</w:t>
      </w:r>
      <w:r>
        <w:t xml:space="preserve"> </w:t>
      </w:r>
      <w:r>
        <w:t xml:space="preserve">separate that budget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reports, generated delivery artefacts and source-data tables are available from an anonymized repository and archival package. Repository and archive identifiers are withheld during double-anonymized review and will be supplied in the accepted version. The package includes the Dynamic World and ArcGIS-served product-track reports, aligned public rasters, planning outputs, raster-cell transition footprints and integrity manifests. Authoritative Abu Dhabi land-use and independent reference data are not part of this study.</w:t>
      </w:r>
    </w:p>
    <w:bookmarkEnd w:id="54"/>
    <w:bookmarkStart w:id="55" w:name="code-availability"/>
    <w:p>
      <w:pPr>
        <w:pStyle w:val="Heading2"/>
      </w:pPr>
      <w:r>
        <w:t xml:space="preserve">Code availability</w:t>
      </w:r>
    </w:p>
    <w:p>
      <w:pPr>
        <w:pStyle w:val="FirstParagraph"/>
      </w:pPr>
      <w:r>
        <w:t xml:space="preserve">The analysis scripts, benchmark protocol, model runners, figure-generation code, model assets and integrity checks are maintained in the accompanying anonymized repository and archival package. Identifiers and contact details are withheld during double-anonymized review and will be supplied in the accepted version.</w:t>
      </w:r>
    </w:p>
    <w:bookmarkEnd w:id="55"/>
    <w:bookmarkStart w:id="56" w:name="declarations"/>
    <w:p>
      <w:pPr>
        <w:pStyle w:val="Heading2"/>
      </w:pPr>
      <w:r>
        <w:t xml:space="preserve">Declarations</w:t>
      </w:r>
    </w:p>
    <w:p>
      <w:pPr>
        <w:pStyle w:val="FirstParagraph"/>
      </w:pPr>
      <w:r>
        <w:t xml:space="preserve">Funding, competing interests, author contributions, acknowledgements and ethics information are supplied in the separate title page and submission metadata.</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Esri. (2026). Sentinel-2 10 m land cover time series of the world [Data set]. ArcGIS Living Atlas of the World. https://www.arcgis.com/home/item.html?id=cfcb7609de5f478eb7666240902d4d3d (accessed 11 September 2026).</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2"/>
        </w:numPr>
      </w:pPr>
      <w:r>
        <w:rPr>
          <w:b/>
          <w:bCs/>
        </w:rPr>
        <w:t xml:space="preserve">Supplementary Table S1:</w:t>
      </w:r>
      <w:r>
        <w:t xml:space="preserve"> </w:t>
      </w:r>
      <w:r>
        <w:t xml:space="preserve">ArcGIS-served 2031 model–scenario objective profiles with per-seed dispersion (see</w:t>
      </w:r>
      <w:r>
        <w:t xml:space="preserve"> </w:t>
      </w:r>
      <w:r>
        <w:rPr>
          <w:rStyle w:val="VerbatimChar"/>
        </w:rPr>
        <w:t xml:space="preserve">supplementary_table_S1_arcgis_planning_objectives.md</w:t>
      </w:r>
      <w:r>
        <w:t xml:space="preserve">).</w:t>
      </w:r>
    </w:p>
    <w:p>
      <w:pPr>
        <w:pStyle w:val="Compact"/>
        <w:numPr>
          <w:ilvl w:val="0"/>
          <w:numId w:val="1002"/>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2"/>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2"/>
        </w:numPr>
      </w:pPr>
      <w:r>
        <w:rPr>
          <w:b/>
          <w:bCs/>
        </w:rPr>
        <w:t xml:space="preserve">Supplementary Table S4:</w:t>
      </w:r>
      <w:r>
        <w:t xml:space="preserve"> </w:t>
      </w:r>
      <w:r>
        <w:t xml:space="preserve">Annual six-class Dynamic World-to-ArcGIS product matrices on the paired grid (see</w:t>
      </w:r>
      <w:r>
        <w:t xml:space="preserve"> </w:t>
      </w:r>
      <w:r>
        <w:rPr>
          <w:rStyle w:val="VerbatimChar"/>
        </w:rPr>
        <w:t xml:space="preserve">supplementary_table_S4_cross_product_class_matrices.md</w:t>
      </w:r>
      <w:r>
        <w:t xml:space="preserve">).</w:t>
      </w:r>
    </w:p>
    <w:p>
      <w:pPr>
        <w:pStyle w:val="Compact"/>
        <w:numPr>
          <w:ilvl w:val="0"/>
          <w:numId w:val="1002"/>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2"/>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2"/>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2"/>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2"/>
        </w:numPr>
      </w:pPr>
      <w:r>
        <w:rPr>
          <w:b/>
          <w:bCs/>
        </w:rPr>
        <w:t xml:space="preserve">Fig. S2:</w:t>
      </w:r>
      <w:r>
        <w:t xml:space="preserve"> </w:t>
      </w:r>
      <w:r>
        <w:t xml:space="preserve">Dynamic World quality proxy and quality-filtered change sensitivity (</w:t>
      </w:r>
      <w:r>
        <w:rPr>
          <w:rStyle w:val="VerbatimChar"/>
        </w:rPr>
        <w:t xml:space="preserve">figures/figS02_input_label_quality.*</w:t>
      </w:r>
      <w:r>
        <w:t xml:space="preserve">).</w:t>
      </w:r>
    </w:p>
    <w:p>
      <w:pPr>
        <w:pStyle w:val="Compact"/>
        <w:numPr>
          <w:ilvl w:val="0"/>
          <w:numId w:val="1002"/>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2"/>
        </w:numPr>
      </w:pPr>
      <w:r>
        <w:rPr>
          <w:b/>
          <w:bCs/>
        </w:rPr>
        <w:t xml:space="preserve">Fig. S4:</w:t>
      </w:r>
      <w:r>
        <w:t xml:space="preserve"> </w:t>
      </w:r>
      <w:r>
        <w:t xml:space="preserve">Driver layers and unified experiment design. Continuous maps are clipped to the 2nd–98th valid-pixel percentiles unless stated otherwise. The schematic uses one coordinate system to keep arrows aligned and shows that the models change spatial allocation while the grid, actions, constraints and evaluator remain fixed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4" Type="http://schemas.openxmlformats.org/officeDocument/2006/relationships/image" Target="media/rId34.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annual land-cover product uncertainty</dc:title>
  <dc:creator/>
  <cp:keywords/>
  <dcterms:created xsi:type="dcterms:W3CDTF">2026-09-11T13:56:04Z</dcterms:created>
  <dcterms:modified xsi:type="dcterms:W3CDTF">2026-09-11T13:56:04Z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