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f1511a8109b24064870830db84b786f9ef0e11"/>
    <w:p>
      <w:pPr>
        <w:pStyle w:val="Heading1"/>
      </w:pPr>
      <w:r>
        <w:t xml:space="preserve">Auditing constrained geospatial allocation under noisy annual land-cover labels</w:t>
      </w:r>
    </w:p>
    <w:p>
      <w:pPr>
        <w:pStyle w:val="FirstParagraph"/>
      </w:pPr>
      <w:r>
        <w:rPr>
          <w:b/>
          <w:bCs/>
        </w:rPr>
        <w:t xml:space="preserve">A Geospatial Kernel benchmark in Abu Dhabi</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w:t>
      </w:r>
    </w:p>
    <w:p>
      <w:pPr>
        <w:pStyle w:val="BodyText"/>
      </w:pPr>
      <w:r>
        <w:t xml:space="preserve">This study is not an official Abu Dhabi planning forecast. Correspondence: Ning Zhou, Beijing Freedo Technology Co., Ltd.</w:t>
      </w:r>
    </w:p>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The regenerated strict FoM was 0.1950 for Geospatial Kernel, 0.1256 for the FLUS-style ANN–CA console (untraceable build) and 0.1616 for GeoFM-LDN in 2023; after recursive two-step rollout in 2024 the values were 0.2520, 0.1782 and 0.2708, respectively. On the high-confidence label subset, all three models had FoM 0.000 in 2023 and the 2024 maximum was 0.0188, showing that full-grid agreement is strongly conditioned by label noise. The planning track is therefore reported as scenario stress testing, not official forecasting. The released public bundle, source, checkpoints, rasters, vector footprints and audit manifests support locked-environment reproduction. An author-run Linux comparison reproduced the six released Kernel rasters exactly at the categorical-cell level and yielded zero strict-FoM difference; this is a measurement of this controlled pair of environments, not a promise of bitwise identity for every numerical stack.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High-confidence labels reveal near-zero measured change skill.</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treats high-confidence subset failure as a primary result under noisy annual labels, rather than as a minor diagnostic.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FLUS-style ANN–CA console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supplied Mach-O executable cannot be traced to a reproducible upstream release or source commit, so we label this control “FLUS-style ANN–CA console (untraceable build)” and do not claim equivalence to the Liu et al. (2017) implementation. A 25-feature Kernel-matched input was then executed with absolute paths for seeds 31, 47 and 73 and is reported as a separate matched-input baseline.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13-feature run includes the current label in the inputs and therefore permits identity leakage; its near-zero change output is interpreted as a degenerate same-year suitability fit, not as evidence of zero land change.</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26" w:name="results"/>
    <w:p>
      <w:pPr>
        <w:pStyle w:val="Heading2"/>
      </w:pPr>
      <w:r>
        <w:t xml:space="preserve">Results</w:t>
      </w:r>
    </w:p>
    <w:bookmarkStart w:id="22"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matched-input baseline in feature space, but it still learns same-year suitability rather than next-state transitions and does not use the Kernel projection implementation. The archived FLUS console is a Mach-O arm64 executable whose original source/version cannot be independently rebuilt from this release, so its results are bounded to the supplied Apple-Silicon binary and are not asserted to be bitwise equivalent to an upstream build. All headline and matched-input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2"/>
    <w:bookmarkStart w:id="23"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0.1950</w:t>
      </w:r>
      <w:r>
        <w:t xml:space="preserve"> </w:t>
      </w:r>
      <w:r>
        <w:t xml:space="preserve">and 0.1616 for the FLUS-style console, Geospatial Kernel and GeoFM-LDN in 2023,</w:t>
      </w:r>
      <w:r>
        <w:t xml:space="preserve"> </w:t>
      </w:r>
      <w:r>
        <w:t xml:space="preserve">and 0.1782, 0.2520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 Historical allocation scores.</w:t>
      </w:r>
      <w:r>
        <w:t xml:space="preserve"> </w:t>
      </w:r>
      <w:r>
        <w:t xml:space="preserve">Values are means across the three</w:t>
      </w:r>
      <w:r>
        <w:t xml:space="preserve"> </w:t>
      </w:r>
      <w:r>
        <w:t xml:space="preserve">frozen computational seeds; the strict multi-class change FoM is the primary</w:t>
      </w:r>
      <w:r>
        <w:t xml:space="preserve"> </w:t>
      </w:r>
      <w:r>
        <w:t xml:space="preserve">metric and the remaining columns are diagnostics. The 25-feature FLUS</w:t>
      </w:r>
      <w:r>
        <w:t xml:space="preserve"> </w:t>
      </w:r>
      <w:r>
        <w:t xml:space="preserve">matched-input baseline is shown separately from the original seven-driver</w:t>
      </w:r>
      <w:r>
        <w:t xml:space="preserve"> </w:t>
      </w:r>
      <w:r>
        <w:t xml:space="preserve">unmatched control because its same-year suitability target and CA semantics do</w:t>
      </w:r>
      <w:r>
        <w:t xml:space="preserve"> </w:t>
      </w:r>
      <w:r>
        <w:t xml:space="preserve">not match the Kernel’s next-state transition task. Persistence and random</w:t>
      </w:r>
      <w:r>
        <w:t xml:space="preserve"> </w:t>
      </w:r>
      <w:r>
        <w:t xml:space="preserve">minimum-change are explicit zero-model controls rather than learned models.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Target year</w:t>
            </w:r>
          </w:p>
        </w:tc>
        <w:tc>
          <w:tcPr/>
          <w:p>
            <w:pPr>
              <w:pStyle w:val="Compact"/>
              <w:jc w:val="right"/>
            </w:pPr>
            <w:r>
              <w:t xml:space="preserve">FLUS-style (7)</w:t>
            </w:r>
          </w:p>
        </w:tc>
        <w:tc>
          <w:tcPr/>
          <w:p>
            <w:pPr>
              <w:pStyle w:val="Compact"/>
              <w:jc w:val="right"/>
            </w:pPr>
            <w:r>
              <w:t xml:space="preserve">FLUS matched (25)</w:t>
            </w:r>
          </w:p>
        </w:tc>
        <w:tc>
          <w:tcPr/>
          <w:p>
            <w:pPr>
              <w:pStyle w:val="Compact"/>
              <w:jc w:val="right"/>
            </w:pPr>
            <w:r>
              <w:t xml:space="preserve">Kernel</w:t>
            </w:r>
          </w:p>
        </w:tc>
        <w:tc>
          <w:tcPr/>
          <w:p>
            <w:pPr>
              <w:pStyle w:val="Compact"/>
              <w:jc w:val="right"/>
            </w:pPr>
            <w:r>
              <w:t xml:space="preserve">GeoFM-LDN</w:t>
            </w:r>
          </w:p>
        </w:tc>
        <w:tc>
          <w:tcPr/>
          <w:p>
            <w:pPr>
              <w:pStyle w:val="Compact"/>
              <w:jc w:val="right"/>
            </w:pPr>
            <w:r>
              <w:t xml:space="preserve">Persistence</w:t>
            </w:r>
          </w:p>
        </w:tc>
        <w:tc>
          <w:tcPr/>
          <w:p>
            <w:pPr>
              <w:pStyle w:val="Compact"/>
              <w:jc w:val="right"/>
            </w:pPr>
            <w:r>
              <w:t xml:space="preserve">Random minimum-change</w:t>
            </w:r>
          </w:p>
        </w:tc>
      </w:tr>
      <w:tr>
        <w:tc>
          <w:tcPr/>
          <w:p>
            <w:pPr>
              <w:pStyle w:val="Compact"/>
              <w:jc w:val="right"/>
            </w:pPr>
            <w:r>
              <w:t xml:space="preserve">2023 (1-step)</w:t>
            </w:r>
          </w:p>
        </w:tc>
        <w:tc>
          <w:tcPr/>
          <w:p>
            <w:pPr>
              <w:pStyle w:val="Compact"/>
              <w:jc w:val="right"/>
            </w:pPr>
            <w:r>
              <w:t xml:space="preserve">0.1256</w:t>
            </w:r>
          </w:p>
        </w:tc>
        <w:tc>
          <w:tcPr/>
          <w:p>
            <w:pPr>
              <w:pStyle w:val="Compact"/>
              <w:jc w:val="right"/>
            </w:pPr>
            <w:r>
              <w:t xml:space="preserve">0.0440</w:t>
            </w:r>
          </w:p>
        </w:tc>
        <w:tc>
          <w:tcPr/>
          <w:p>
            <w:pPr>
              <w:pStyle w:val="Compact"/>
              <w:jc w:val="right"/>
            </w:pPr>
            <w:r>
              <w:rPr>
                <w:b/>
                <w:bCs/>
              </w:rPr>
              <w:t xml:space="preserve">0.1950</w:t>
            </w:r>
          </w:p>
        </w:tc>
        <w:tc>
          <w:tcPr/>
          <w:p>
            <w:pPr>
              <w:pStyle w:val="Compact"/>
              <w:jc w:val="right"/>
            </w:pPr>
            <w:r>
              <w:t xml:space="preserve">0.1616</w:t>
            </w:r>
          </w:p>
        </w:tc>
        <w:tc>
          <w:tcPr/>
          <w:p>
            <w:pPr>
              <w:pStyle w:val="Compact"/>
              <w:jc w:val="right"/>
            </w:pPr>
            <w:r>
              <w:t xml:space="preserve">0.0000</w:t>
            </w:r>
          </w:p>
        </w:tc>
        <w:tc>
          <w:tcPr/>
          <w:p>
            <w:pPr>
              <w:pStyle w:val="Compact"/>
              <w:jc w:val="right"/>
            </w:pPr>
            <w:r>
              <w:t xml:space="preserve">0.0253</w:t>
            </w:r>
          </w:p>
        </w:tc>
      </w:tr>
      <w:tr>
        <w:tc>
          <w:tcPr/>
          <w:p>
            <w:pPr>
              <w:pStyle w:val="Compact"/>
              <w:jc w:val="right"/>
            </w:pPr>
            <w:r>
              <w:t xml:space="preserve">2024 (2-step open-loop)</w:t>
            </w:r>
          </w:p>
        </w:tc>
        <w:tc>
          <w:tcPr/>
          <w:p>
            <w:pPr>
              <w:pStyle w:val="Compact"/>
              <w:jc w:val="right"/>
            </w:pPr>
            <w:r>
              <w:t xml:space="preserve">0.1782</w:t>
            </w:r>
          </w:p>
        </w:tc>
        <w:tc>
          <w:tcPr/>
          <w:p>
            <w:pPr>
              <w:pStyle w:val="Compact"/>
              <w:jc w:val="right"/>
            </w:pPr>
            <w:r>
              <w:t xml:space="preserve">0.0653</w:t>
            </w:r>
          </w:p>
        </w:tc>
        <w:tc>
          <w:tcPr/>
          <w:p>
            <w:pPr>
              <w:pStyle w:val="Compact"/>
              <w:jc w:val="right"/>
            </w:pPr>
            <w:r>
              <w:t xml:space="preserve">0.2520</w:t>
            </w:r>
          </w:p>
        </w:tc>
        <w:tc>
          <w:tcPr/>
          <w:p>
            <w:pPr>
              <w:pStyle w:val="Compact"/>
              <w:jc w:val="right"/>
            </w:pPr>
            <w:r>
              <w:rPr>
                <w:b/>
                <w:bCs/>
              </w:rPr>
              <w:t xml:space="preserve">0.2708</w:t>
            </w:r>
          </w:p>
        </w:tc>
        <w:tc>
          <w:tcPr/>
          <w:p>
            <w:pPr>
              <w:pStyle w:val="Compact"/>
              <w:jc w:val="right"/>
            </w:pPr>
            <w:r>
              <w:t xml:space="preserve">0.0000</w:t>
            </w:r>
          </w:p>
        </w:tc>
        <w:tc>
          <w:tcPr/>
          <w:p>
            <w:pPr>
              <w:pStyle w:val="Compact"/>
              <w:jc w:val="right"/>
            </w:pPr>
            <w:r>
              <w:t xml:space="preserve">0.0605</w:t>
            </w:r>
          </w:p>
        </w:tc>
      </w:tr>
    </w:tbl>
    <w:p>
      <w:pPr>
        <w:pStyle w:val="BodyText"/>
      </w:pPr>
      <w:r>
        <w:t xml:space="preserve">Spatial-block bootstrap model contrasts support these differences. For 2023,</w:t>
      </w:r>
      <w:r>
        <w:t xml:space="preserve"> </w:t>
      </w:r>
      <w:r>
        <w:t xml:space="preserve">Kernel minus the FLUS-style control was 0.0692 [0.0546, 0.0859] and GeoFM-LDN</w:t>
      </w:r>
      <w:r>
        <w:t xml:space="preserve"> </w:t>
      </w:r>
      <w:r>
        <w:t xml:space="preserve">minus Kernel was −0.0333 [−0.0478, −0.0201]. For 2024, GeoFM-LDN minus Kernel</w:t>
      </w:r>
      <w:r>
        <w:t xml:space="preserve"> </w:t>
      </w:r>
      <w:r>
        <w:t xml:space="preserve">was 0.0184 [0.0046, 0.0321].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bars use three-seed population standard deviations, whereas the</w:t>
      </w:r>
      <w:r>
        <w:t xml:space="preserve"> </w:t>
      </w:r>
      <w:r>
        <w:t xml:space="preserve">paired spatial-block intervals above are the uncertainty summaries used for</w:t>
      </w:r>
      <w:r>
        <w:t xml:space="preserve"> </w:t>
      </w:r>
      <w:r>
        <w:t xml:space="preserve">model contrasts.</w:t>
      </w:r>
    </w:p>
    <w:p>
      <w:pPr>
        <w:pStyle w:val="BodyText"/>
      </w:pPr>
      <w:r>
        <w:t xml:space="preserve">The reviewer-requested FLUS input-dimension analysis was also completed. Across</w:t>
      </w:r>
      <w:r>
        <w:t xml:space="preserve"> </w:t>
      </w:r>
      <w:r>
        <w:t xml:space="preserve">seeds 31, 47 and 73, the 25-feature matched-input baseline had mean strict FoM</w:t>
      </w:r>
      <w:r>
        <w:t xml:space="preserve"> </w:t>
      </w:r>
      <w:r>
        <w:t xml:space="preserve">0.0440 in 2023 and 0.0653 in 2024; the corresponding Kernel-minus-matched-input</w:t>
      </w:r>
      <w:r>
        <w:t xml:space="preserve"> </w:t>
      </w:r>
      <w:r>
        <w:t xml:space="preserve">paired spatial-block intervals were 0.1350–0.1673 and 0.1687–0.2033,</w:t>
      </w:r>
      <w:r>
        <w:t xml:space="preserve"> </w:t>
      </w:r>
      <w:r>
        <w:t xml:space="preserve">respectively. The 13-feature seven-driver-plus-current-class run had strict FoM</w:t>
      </w:r>
      <w:r>
        <w:t xml:space="preserve"> </w:t>
      </w:r>
      <w:r>
        <w:t xml:space="preserve">0.0000 for both years in seed 31 and produced no changed pixels. This occurs</w:t>
      </w:r>
      <w:r>
        <w:t xml:space="preserve"> </w:t>
      </w:r>
      <w:r>
        <w:t xml:space="preserve">because the current-class indicators expose the same-year label used as the ANN</w:t>
      </w:r>
      <w:r>
        <w:t xml:space="preserve"> </w:t>
      </w:r>
      <w:r>
        <w:t xml:space="preserve">target: the network learns an almost exact identity mapping (training RMSE</w:t>
      </w:r>
      <w:r>
        <w:t xml:space="preserve"> </w:t>
      </w:r>
      <m:oMath>
        <m:r>
          <m:t>1.6</m:t>
        </m:r>
        <m:r>
          <m:rPr>
            <m:sty m:val="p"/>
          </m:rPr>
          <m:t>×</m:t>
        </m:r>
        <m:sSup>
          <m:e>
            <m:r>
              <m:t>10</m:t>
            </m:r>
          </m:e>
          <m:sup>
            <m:r>
              <m:rPr>
                <m:sty m:val="p"/>
              </m:rPr>
              <m:t>−</m:t>
            </m:r>
            <m:r>
              <m:t>5</m:t>
            </m:r>
          </m:sup>
        </m:sSup>
      </m:oMath>
      <w:r>
        <w:t xml:space="preserve">), so the CA receives probabilities concentrated on the</w:t>
      </w:r>
      <w:r>
        <w:t xml:space="preserve"> </w:t>
      </w:r>
      <w:r>
        <w:t xml:space="preserve">current class and makes no transitions. The 19-feature diagnostic had strict</w:t>
      </w:r>
      <w:r>
        <w:t xml:space="preserve"> </w:t>
      </w:r>
      <w:r>
        <w:t xml:space="preserve">FoM 0.1371 and 0.1149 in seed 31. These results show why matching feature</w:t>
      </w:r>
      <w:r>
        <w:t xml:space="preserve"> </w:t>
      </w:r>
      <w:r>
        <w:t xml:space="preserve">dimensions cannot make 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 the Kernel learns next-state transitions and then</w:t>
      </w:r>
      <w:r>
        <w:t xml:space="preserve"> </w:t>
      </w:r>
      <w:r>
        <w:t xml:space="preserve">projects them against action deficits and hard constraints.</w:t>
      </w:r>
    </w:p>
    <w:p>
      <w:pPr>
        <w:pStyle w:val="BodyText"/>
      </w:pPr>
      <w:r>
        <w:t xml:space="preserve">The reliability sensitivity is substantially less favourable. Requiring both</w:t>
      </w:r>
      <w:r>
        <w:t xml:space="preserve"> </w:t>
      </w:r>
      <w:r>
        <w:t xml:space="preserve">the origin and target Dynamic World mean top probability to exceed 0.5 leaves</w:t>
      </w:r>
      <w:r>
        <w:t xml:space="preserve"> </w:t>
      </w:r>
      <w:r>
        <w:t xml:space="preserve">strict FoM at 0.000 for all three models in 2023; in 2024 the means are 0.004</w:t>
      </w:r>
      <w:r>
        <w:t xml:space="preserve"> </w:t>
      </w:r>
      <w:r>
        <w:t xml:space="preserve">for the FLUS-style console, 0.005 for Geospatial Kernel and 0.019 for GeoFM-LDN. This is</w:t>
      </w:r>
      <w:r>
        <w:t xml:space="preserve"> </w:t>
      </w:r>
      <w:r>
        <w:t xml:space="preserve">a label-quality diagnostic, not an independent validation set. Dynamic World</w:t>
      </w:r>
      <w:r>
        <w:t xml:space="preserve"> </w:t>
      </w:r>
      <w:r>
        <w:t xml:space="preserve">also reports built pixels increasing from 9,359 in 2022 to 15,598 in 2024</w:t>
      </w:r>
      <w:r>
        <w:t xml:space="preserve"> </w:t>
      </w:r>
      <w:r>
        <w:t xml:space="preserve">(67%), while the median one-year reversion fraction is 0.3611 and the mean</w:t>
      </w:r>
      <w:r>
        <w:t xml:space="preserve"> </w:t>
      </w:r>
      <w:r>
        <w:t xml:space="preserve">fraction of cells below confidence 0.5 is 0.5497. Test-year change counts are</w:t>
      </w:r>
      <w:r>
        <w:t xml:space="preserve"> </w:t>
      </w:r>
      <w:r>
        <w:t xml:space="preserve">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We also reran Geospatial Kernel in a Linux container using the same source,</w:t>
      </w:r>
      <w:r>
        <w:t xml:space="preserve"> </w:t>
      </w:r>
      <w:r>
        <w:t xml:space="preserve">inputs and seeds 31, 47 and 73. Both archived environments are arm64, so this is</w:t>
      </w:r>
      <w:r>
        <w:t xml:space="preserve"> </w:t>
      </w:r>
      <w:r>
        <w:t xml:space="preserve">a same-architecture comparison: across six rasters (2023 and 2024 for each</w:t>
      </w:r>
      <w:r>
        <w:t xml:space="preserve"> </w:t>
      </w:r>
      <w:r>
        <w:t xml:space="preserve">seed), all categorical cells matched and strict-FoM deltas were zero. Earlier</w:t>
      </w:r>
      <w:r>
        <w:t xml:space="preserve"> </w:t>
      </w:r>
      <w:r>
        <w:t xml:space="preserve">x86_64 reruns showed approximately 1% differing cells and FoM changes near</w:t>
      </w:r>
      <w:r>
        <w:t xml:space="preserve"> </w:t>
      </w:r>
      <w:r>
        <w:t xml:space="preserve">0.001; those cross-architecture differences have not yet been independently</w:t>
      </w:r>
      <w:r>
        <w:t xml:space="preserve"> </w:t>
      </w:r>
      <w:r>
        <w:t xml:space="preserve">characterised in this release. The archived comparison report records the</w:t>
      </w:r>
      <w:r>
        <w:t xml:space="preserve"> </w:t>
      </w:r>
      <w:r>
        <w:t xml:space="preserve">exact paths and environment fields. This documents the measured stability of</w:t>
      </w:r>
      <w:r>
        <w:t xml:space="preserve"> </w:t>
      </w:r>
      <w:r>
        <w:t xml:space="preserve">the released same-architecture pair, not universal bitwise identity.</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2.97–4.26 and GeoFM-LDN 3.22–4.34.</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3.</w:t>
      </w:r>
      <w:r>
        <w:t xml:space="preserve"> </w:t>
      </w:r>
      <w:r>
        <w:t xml:space="preserve">The 2031 majority-vote ensemble L1 demand errors were 60, 68 and 86 pixels for</w:t>
      </w:r>
      <w:r>
        <w:t xml:space="preserve"> </w:t>
      </w:r>
      <w:r>
        <w:t xml:space="preserve">the Kernel’s moderate, green-priority and high-outward scenarios, respectively;</w:t>
      </w:r>
      <w:r>
        <w:t xml:space="preserve"> </w:t>
      </w:r>
      <w:r>
        <w:t xml:space="preserve">the corresponding GeoFM-LDN errors were 1,596, 1,536 and 1,174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The resulting 2031 ensemble rasters</w:t>
      </w:r>
      <w:r>
        <w:t xml:space="preserve"> </w:t>
      </w:r>
      <w:r>
        <w:t xml:space="preserve">and their dissolved cell-change footprints are shown in Fig. 5; they are</w:t>
      </w:r>
      <w:r>
        <w:t xml:space="preserve"> </w:t>
      </w:r>
      <w:r>
        <w:t xml:space="preserve">scenario-conditioned land-cover maps, not parcel boundaries or statutory zoning</w:t>
      </w:r>
      <w:r>
        <w:t xml:space="preserve"> </w:t>
      </w:r>
      <w:r>
        <w:t xml:space="preserve">maps.</w:t>
      </w:r>
    </w:p>
    <w:p>
      <w:pPr>
        <w:pStyle w:val="BodyText"/>
      </w:pPr>
      <w:r>
        <w:rPr>
          <w:b/>
          <w:bCs/>
        </w:rPr>
        <w:t xml:space="preserve">Table 2 | 2031 within-scenario planning objectives.</w:t>
      </w:r>
      <w:r>
        <w:t xml:space="preserve"> </w:t>
      </w:r>
      <w:r>
        <w:t xml:space="preserve">Values are means across</w:t>
      </w:r>
      <w:r>
        <w:t xml:space="preserve"> </w:t>
      </w:r>
      <w:r>
        <w:t xml:space="preserve">three seeds. Distances are metres, union-built component density is the number</w:t>
      </w:r>
      <w:r>
        <w:t xml:space="preserve"> </w:t>
      </w:r>
      <w:r>
        <w:t xml:space="preserve">of connected components in the 2024-built ∪ newly-built footprint per 1,000</w:t>
      </w:r>
      <w:r>
        <w:t xml:space="preserve"> </w:t>
      </w:r>
      <w:r>
        <w:t xml:space="preserve">valid cells, and ecological conversion is a descriptive fraction of new-built</w:t>
      </w:r>
      <w:r>
        <w:t xml:space="preserve"> </w:t>
      </w:r>
      <w:r>
        <w:t xml:space="preserve">cells whose origin class was woody, low vegetation or wetland. A star denotes</w:t>
      </w:r>
      <w:r>
        <w:t xml:space="preserve"> </w:t>
      </w:r>
      <w:r>
        <w:t xml:space="preserve">membership in the primary within-scenario Pareto frontier.</w:t>
      </w:r>
    </w:p>
    <w:tbl>
      <w:tblPr>
        <w:tblStyle w:val="Table"/>
        <w:tblW w:type="pct" w:w="5000"/>
        <w:tblLayout w:type="fixed"/>
        <w:tblLook w:firstRow="1" w:lastRow="0" w:firstColumn="0" w:lastColumn="0" w:noHBand="0" w:noVBand="0" w:val="0020"/>
      </w:tblPr>
      <w:tblGrid>
        <w:gridCol w:w="880"/>
        <w:gridCol w:w="880"/>
        <w:gridCol w:w="1173"/>
        <w:gridCol w:w="1173"/>
        <w:gridCol w:w="1173"/>
        <w:gridCol w:w="1173"/>
        <w:gridCol w:w="1466"/>
      </w:tblGrid>
      <w:tr>
        <w:trPr>
          <w:tblHeader w:val="on"/>
        </w:trPr>
        <w:tc>
          <w:tcPr/>
          <w:p>
            <w:pPr>
              <w:pStyle w:val="Compact"/>
            </w:pPr>
            <w:r>
              <w:t xml:space="preserve">Model</w:t>
            </w:r>
          </w:p>
        </w:tc>
        <w:tc>
          <w:tcPr/>
          <w:p>
            <w:pPr>
              <w:pStyle w:val="Compact"/>
            </w:pPr>
            <w:r>
              <w:t xml:space="preserve">Scenario</w:t>
            </w:r>
          </w:p>
        </w:tc>
        <w:tc>
          <w:tcPr/>
          <w:p>
            <w:pPr>
              <w:pStyle w:val="Compact"/>
              <w:jc w:val="right"/>
            </w:pPr>
            <w:r>
              <w:t xml:space="preserve">Major-road distance</w:t>
            </w:r>
          </w:p>
        </w:tc>
        <w:tc>
          <w:tcPr/>
          <w:p>
            <w:pPr>
              <w:pStyle w:val="Compact"/>
              <w:jc w:val="right"/>
            </w:pPr>
            <w:r>
              <w:t xml:space="preserve">Prior-built distance</w:t>
            </w:r>
          </w:p>
        </w:tc>
        <w:tc>
          <w:tcPr/>
          <w:p>
            <w:pPr>
              <w:pStyle w:val="Compact"/>
              <w:jc w:val="right"/>
            </w:pPr>
            <w:r>
              <w:t xml:space="preserve">Union-built components/1,000</w:t>
            </w:r>
          </w:p>
        </w:tc>
        <w:tc>
          <w:tcPr/>
          <w:p>
            <w:pPr>
              <w:pStyle w:val="Compact"/>
              <w:jc w:val="right"/>
            </w:pPr>
            <w:r>
              <w:t xml:space="preserve">Ecological conversion (diagnostic)</w:t>
            </w:r>
          </w:p>
        </w:tc>
        <w:tc>
          <w:tcPr/>
          <w:p>
            <w:pPr>
              <w:pStyle w:val="Compact"/>
              <w:jc w:val="center"/>
            </w:pPr>
            <w:r>
              <w:t xml:space="preserve">Frontier</w:t>
            </w:r>
          </w:p>
        </w:tc>
      </w:tr>
      <w:tr>
        <w:tc>
          <w:tcPr/>
          <w:p>
            <w:pPr>
              <w:pStyle w:val="Compact"/>
            </w:pPr>
            <w:r>
              <w:t xml:space="preserve">FLUS-style ANN–CA</w:t>
            </w:r>
          </w:p>
        </w:tc>
        <w:tc>
          <w:tcPr/>
          <w:p>
            <w:pPr>
              <w:pStyle w:val="Compact"/>
            </w:pPr>
            <w:r>
              <w:t xml:space="preserve">Moderate</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pPr>
            <w:r>
              <w:t xml:space="preserve">Geospatial Kernel</w:t>
            </w:r>
          </w:p>
        </w:tc>
        <w:tc>
          <w:tcPr/>
          <w:p>
            <w:pPr>
              <w:pStyle w:val="Compact"/>
            </w:pPr>
            <w:r>
              <w:t xml:space="preserve">Moderate</w:t>
            </w:r>
          </w:p>
        </w:tc>
        <w:tc>
          <w:tcPr/>
          <w:p>
            <w:pPr>
              <w:pStyle w:val="Compact"/>
              <w:jc w:val="right"/>
            </w:pPr>
            <w:r>
              <w:t xml:space="preserve">336.7</w:t>
            </w:r>
          </w:p>
        </w:tc>
        <w:tc>
          <w:tcPr/>
          <w:p>
            <w:pPr>
              <w:pStyle w:val="Compact"/>
              <w:jc w:val="right"/>
            </w:pPr>
            <w:r>
              <w:t xml:space="preserve">117.4</w:t>
            </w:r>
          </w:p>
        </w:tc>
        <w:tc>
          <w:tcPr/>
          <w:p>
            <w:pPr>
              <w:pStyle w:val="Compact"/>
              <w:jc w:val="right"/>
            </w:pPr>
            <w:r>
              <w:t xml:space="preserve">3.922</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Moderate</w:t>
            </w:r>
          </w:p>
        </w:tc>
        <w:tc>
          <w:tcPr/>
          <w:p>
            <w:pPr>
              <w:pStyle w:val="Compact"/>
              <w:jc w:val="right"/>
            </w:pPr>
            <w:r>
              <w:t xml:space="preserve">475.5</w:t>
            </w:r>
          </w:p>
        </w:tc>
        <w:tc>
          <w:tcPr/>
          <w:p>
            <w:pPr>
              <w:pStyle w:val="Compact"/>
              <w:jc w:val="right"/>
            </w:pPr>
            <w:r>
              <w:t xml:space="preserve">239.8</w:t>
            </w:r>
          </w:p>
        </w:tc>
        <w:tc>
          <w:tcPr/>
          <w:p>
            <w:pPr>
              <w:pStyle w:val="Compact"/>
              <w:jc w:val="right"/>
            </w:pPr>
            <w:r>
              <w:t xml:space="preserve">4.081</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Green-priority</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pPr>
            <w:r>
              <w:t xml:space="preserve">Geospatial Kernel</w:t>
            </w:r>
          </w:p>
        </w:tc>
        <w:tc>
          <w:tcPr/>
          <w:p>
            <w:pPr>
              <w:pStyle w:val="Compact"/>
            </w:pPr>
            <w:r>
              <w:t xml:space="preserve">Green-priority</w:t>
            </w:r>
          </w:p>
        </w:tc>
        <w:tc>
          <w:tcPr/>
          <w:p>
            <w:pPr>
              <w:pStyle w:val="Compact"/>
              <w:jc w:val="right"/>
            </w:pPr>
            <w:r>
              <w:t xml:space="preserve">319.8</w:t>
            </w:r>
          </w:p>
        </w:tc>
        <w:tc>
          <w:tcPr/>
          <w:p>
            <w:pPr>
              <w:pStyle w:val="Compact"/>
              <w:jc w:val="right"/>
            </w:pPr>
            <w:r>
              <w:t xml:space="preserve">111.3</w:t>
            </w:r>
          </w:p>
        </w:tc>
        <w:tc>
          <w:tcPr/>
          <w:p>
            <w:pPr>
              <w:pStyle w:val="Compact"/>
              <w:jc w:val="right"/>
            </w:pPr>
            <w:r>
              <w:t xml:space="preserve">4.256</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Green-priority</w:t>
            </w:r>
          </w:p>
        </w:tc>
        <w:tc>
          <w:tcPr/>
          <w:p>
            <w:pPr>
              <w:pStyle w:val="Compact"/>
              <w:jc w:val="right"/>
            </w:pPr>
            <w:r>
              <w:t xml:space="preserve">452.2</w:t>
            </w:r>
          </w:p>
        </w:tc>
        <w:tc>
          <w:tcPr/>
          <w:p>
            <w:pPr>
              <w:pStyle w:val="Compact"/>
              <w:jc w:val="right"/>
            </w:pPr>
            <w:r>
              <w:t xml:space="preserve">222.8</w:t>
            </w:r>
          </w:p>
        </w:tc>
        <w:tc>
          <w:tcPr/>
          <w:p>
            <w:pPr>
              <w:pStyle w:val="Compact"/>
              <w:jc w:val="right"/>
            </w:pPr>
            <w:r>
              <w:t xml:space="preserve">4.340</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High outward</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pPr>
            <w:r>
              <w:t xml:space="preserve">Geospatial Kernel</w:t>
            </w:r>
          </w:p>
        </w:tc>
        <w:tc>
          <w:tcPr/>
          <w:p>
            <w:pPr>
              <w:pStyle w:val="Compact"/>
            </w:pPr>
            <w:r>
              <w:t xml:space="preserve">High outward</w:t>
            </w:r>
          </w:p>
        </w:tc>
        <w:tc>
          <w:tcPr/>
          <w:p>
            <w:pPr>
              <w:pStyle w:val="Compact"/>
              <w:jc w:val="right"/>
            </w:pPr>
            <w:r>
              <w:t xml:space="preserve">362.5</w:t>
            </w:r>
          </w:p>
        </w:tc>
        <w:tc>
          <w:tcPr/>
          <w:p>
            <w:pPr>
              <w:pStyle w:val="Compact"/>
              <w:jc w:val="right"/>
            </w:pPr>
            <w:r>
              <w:t xml:space="preserve">141.7</w:t>
            </w:r>
          </w:p>
        </w:tc>
        <w:tc>
          <w:tcPr/>
          <w:p>
            <w:pPr>
              <w:pStyle w:val="Compact"/>
              <w:jc w:val="right"/>
            </w:pPr>
            <w:r>
              <w:t xml:space="preserve">2.969</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High outward</w:t>
            </w:r>
          </w:p>
        </w:tc>
        <w:tc>
          <w:tcPr/>
          <w:p>
            <w:pPr>
              <w:pStyle w:val="Compact"/>
              <w:jc w:val="right"/>
            </w:pPr>
            <w:r>
              <w:t xml:space="preserve">507.7</w:t>
            </w:r>
          </w:p>
        </w:tc>
        <w:tc>
          <w:tcPr/>
          <w:p>
            <w:pPr>
              <w:pStyle w:val="Compact"/>
              <w:jc w:val="right"/>
            </w:pPr>
            <w:r>
              <w:t xml:space="preserve">264.4</w:t>
            </w:r>
          </w:p>
        </w:tc>
        <w:tc>
          <w:tcPr/>
          <w:p>
            <w:pPr>
              <w:pStyle w:val="Compact"/>
              <w:jc w:val="right"/>
            </w:pPr>
            <w:r>
              <w:t xml:space="preserve">3.219</w:t>
            </w:r>
          </w:p>
        </w:tc>
        <w:tc>
          <w:tcPr/>
          <w:p>
            <w:pPr>
              <w:pStyle w:val="Compact"/>
              <w:jc w:val="right"/>
            </w:pPr>
            <w:r>
              <w:t xml:space="preserve">0.0000</w:t>
            </w:r>
          </w:p>
        </w:tc>
        <w:tc>
          <w:tcPr/>
          <w:p>
            <w:pPr>
              <w:pStyle w:val="Compact"/>
            </w:pPr>
          </w:p>
        </w:tc>
      </w:tr>
    </w:tbl>
    <w:bookmarkEnd w:id="23"/>
    <w:bookmarkStart w:id="24"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the proposal controls, while Fig. 4B–D reports runtime and planning controls.</w:t>
      </w:r>
    </w:p>
    <w:p>
      <w:pPr>
        <w:pStyle w:val="BodyText"/>
      </w:pPr>
      <w:r>
        <w:t xml:space="preserve">In the post-hoc neighbourhood-weight sensitivity, the mean strict FoM ranged</w:t>
      </w:r>
      <w:r>
        <w:t xml:space="preserve"> </w:t>
      </w:r>
      <w:r>
        <w:t xml:space="preserve">from 0.19598 at weight 0 to 0.19472 at weight 0.7 in 2023, and from 0.25280</w:t>
      </w:r>
      <w:r>
        <w:t xml:space="preserve"> </w:t>
      </w:r>
      <w:r>
        <w:t xml:space="preserve">at weight 0 to 0.25130 at weight 0.7 in 2024; the complete strict-evaluator</w:t>
      </w:r>
      <w:r>
        <w:t xml:space="preserve"> </w:t>
      </w:r>
      <w:r>
        <w:t xml:space="preserve">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24"/>
    <w:bookmarkStart w:id="2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bookmarkEnd w:id="25"/>
    <w:bookmarkEnd w:id="26"/>
    <w:bookmarkStart w:id="2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high-confidence subset shows near-zero skill for all models in 2023 and at most 0.0188 FoM in 2024, so full-grid rankings should not be interpreted as validated urban-change skill.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remains an untraceable Apple-Silicon binary and its headline comparison</w:t>
      </w:r>
      <w:r>
        <w:t xml:space="preserve"> </w:t>
      </w:r>
      <w:r>
        <w:t xml:space="preserve">uses seven drivers; the successful 25-feature run is a matched-input baseline</w:t>
      </w:r>
      <w:r>
        <w:t xml:space="preserve"> </w:t>
      </w:r>
      <w:r>
        <w:t xml:space="preserve">reported separately from the primary unmatched control. 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27"/>
    <w:bookmarkStart w:id="2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author-run same-architecture arm64 Linux comparison of six historical Kernel rasters found zero categorical-cell differences and zero strict-FoM delta; earlier x86_64 differences are disclosed but not independently characterised here. No private database address, credential or client-only service is included. Authoritative Abu Dhabi land-use and independent change-validation data remain outside this study.</w:t>
      </w:r>
    </w:p>
    <w:bookmarkEnd w:id="28"/>
    <w:bookmarkStart w:id="2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under</w:t>
      </w:r>
      <w:r>
        <w:t xml:space="preserve"> </w:t>
      </w:r>
      <w:r>
        <w:rPr>
          <w:rStyle w:val="VerbatimChar"/>
        </w:rPr>
        <w:t xml:space="preserve">benchmarks/abu_dhabi_land_use_v1/external/</w:t>
      </w:r>
      <w:r>
        <w:t xml:space="preserve"> </w:t>
      </w:r>
      <w:r>
        <w:t xml:space="preserve">and</w:t>
      </w:r>
      <w:r>
        <w:t xml:space="preserve"> </w:t>
      </w:r>
      <w:r>
        <w:rPr>
          <w:rStyle w:val="VerbatimChar"/>
        </w:rPr>
        <w:t xml:space="preserve">artifacts/predictions/</w:t>
      </w:r>
      <w:r>
        <w:t xml:space="preserve">.</w:t>
      </w:r>
      <w:r>
        <w:t xml:space="preserve"> </w:t>
      </w:r>
      <w:r>
        <w:t xml:space="preserve">The vendored FLUS executable is a macOS arm64 binary; Linux and Windows users</w:t>
      </w:r>
      <w:r>
        <w:t xml:space="preserve"> </w:t>
      </w:r>
      <w:r>
        <w:t xml:space="preserve">can reproduce the Kernel and GeoFM-LDN tracks, but must provide a compatible</w:t>
      </w:r>
      <w:r>
        <w:t xml:space="preserve"> </w:t>
      </w:r>
      <w:r>
        <w:t xml:space="preserve">FLUS build or treat that baseline as unavailable. The repository is intended to</w:t>
      </w:r>
      <w:r>
        <w:t xml:space="preserve"> </w:t>
      </w:r>
      <w:r>
        <w:t xml:space="preserve">be public; an archival DOI and the corresponding-author e-mail should be added</w:t>
      </w:r>
      <w:r>
        <w:t xml:space="preserve"> </w:t>
      </w:r>
      <w:r>
        <w:t xml:space="preserve">to the submission metadata.</w:t>
      </w:r>
    </w:p>
    <w:bookmarkEnd w:id="29"/>
    <w:bookmarkStart w:id="3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30"/>
    <w:bookmarkStart w:id="3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1"/>
    <w:bookmarkStart w:id="47" w:name="figure-legends"/>
    <w:p>
      <w:pPr>
        <w:pStyle w:val="Heading2"/>
      </w:pPr>
      <w:r>
        <w:t xml:space="preserve">Figure legends</w:t>
      </w:r>
    </w:p>
    <w:p>
      <w:pPr>
        <w:pStyle w:val="FirstParagraph"/>
      </w:pPr>
      <w:r>
        <w:drawing>
          <wp:inline>
            <wp:extent cx="5334000" cy="3481042"/>
            <wp:effectExtent b="0" l="0" r="0" t="0"/>
            <wp:docPr descr="" title="" id="33" name="Picture"/>
            <a:graphic>
              <a:graphicData uri="http://schemas.openxmlformats.org/drawingml/2006/picture">
                <pic:pic>
                  <pic:nvPicPr>
                    <pic:cNvPr descr="figures/fig01_benchmark_contract.png" id="34" name="Picture"/>
                    <pic:cNvPicPr>
                      <a:picLocks noChangeArrowheads="1" noChangeAspect="1"/>
                    </pic:cNvPicPr>
                  </pic:nvPicPr>
                  <pic:blipFill>
                    <a:blip r:embed="rId32"/>
                    <a:stretch>
                      <a:fillRect/>
                    </a:stretch>
                  </pic:blipFill>
                  <pic:spPr bwMode="auto">
                    <a:xfrm>
                      <a:off x="0" y="0"/>
                      <a:ext cx="5334000" cy="3481042"/>
                    </a:xfrm>
                    <a:prstGeom prst="rect">
                      <a:avLst/>
                    </a:prstGeom>
                    <a:noFill/>
                    <a:ln w="9525">
                      <a:noFill/>
                      <a:headEnd/>
                      <a:tailEnd/>
                    </a:ln>
                  </pic:spPr>
                </pic:pic>
              </a:graphicData>
            </a:graphic>
          </wp:inline>
        </w:drawing>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drawing>
          <wp:inline>
            <wp:extent cx="5334000" cy="3705443"/>
            <wp:effectExtent b="0" l="0" r="0" t="0"/>
            <wp:docPr descr="" title="" id="36" name="Picture"/>
            <a:graphic>
              <a:graphicData uri="http://schemas.openxmlformats.org/drawingml/2006/picture">
                <pic:pic>
                  <pic:nvPicPr>
                    <pic:cNvPr descr="figures/fig02_historical_validation.png" id="37" name="Picture"/>
                    <pic:cNvPicPr>
                      <a:picLocks noChangeArrowheads="1" noChangeAspect="1"/>
                    </pic:cNvPicPr>
                  </pic:nvPicPr>
                  <pic:blipFill>
                    <a:blip r:embed="rId35"/>
                    <a:stretch>
                      <a:fillRect/>
                    </a:stretch>
                  </pic:blipFill>
                  <pic:spPr bwMode="auto">
                    <a:xfrm>
                      <a:off x="0" y="0"/>
                      <a:ext cx="5334000" cy="3705443"/>
                    </a:xfrm>
                    <a:prstGeom prst="rect">
                      <a:avLst/>
                    </a:prstGeom>
                    <a:noFill/>
                    <a:ln w="9525">
                      <a:noFill/>
                      <a:headEnd/>
                      <a:tailEnd/>
                    </a:ln>
                  </pic:spPr>
                </pic:pic>
              </a:graphicData>
            </a:graphic>
          </wp:inline>
        </w:drawing>
      </w:r>
    </w:p>
    <w:p>
      <w:pPr>
        <w:pStyle w:val="BodyText"/>
      </w:pPr>
      <w:r>
        <w:rPr>
          <w:b/>
          <w:bCs/>
        </w:rPr>
        <w:t xml:space="preserve">Figure 2 | Historical allocation skill.</w:t>
      </w:r>
      <w:r>
        <w:t xml:space="preserve"> </w:t>
      </w:r>
      <w:r>
        <w:t xml:space="preserve">Bars show the revised strict</w:t>
      </w:r>
      <w:r>
        <w:t xml:space="preserve"> </w:t>
      </w:r>
      <w:r>
        <w:t xml:space="preserve">multi-class FoM, change F1, overall accuracy and macro-F1 for the 2023 one-step</w:t>
      </w:r>
      <w:r>
        <w:t xml:space="preserve"> </w:t>
      </w:r>
      <w:r>
        <w:t xml:space="preserve">and 2024 two-step open-loop tests, with persistence and random minimum-change</w:t>
      </w:r>
      <w:r>
        <w:t xml:space="preserve"> </w:t>
      </w:r>
      <w:r>
        <w:t xml:space="preserve">controls. Error bars show population standard deviation across the three frozen</w:t>
      </w:r>
      <w:r>
        <w:t xml:space="preserve"> </w:t>
      </w:r>
      <w:r>
        <w:t xml:space="preserve">seeds; paired spatial-block intervals are reported in the machine-readable</w:t>
      </w:r>
      <w:r>
        <w:t xml:space="preserve"> </w:t>
      </w:r>
      <w:r>
        <w:t xml:space="preserve">comparison report.</w:t>
      </w:r>
    </w:p>
    <w:p>
      <w:pPr>
        <w:pStyle w:val="BodyText"/>
      </w:pPr>
      <w:r>
        <w:drawing>
          <wp:inline>
            <wp:extent cx="5334000" cy="3551268"/>
            <wp:effectExtent b="0" l="0" r="0" t="0"/>
            <wp:docPr descr="" title="" id="39" name="Picture"/>
            <a:graphic>
              <a:graphicData uri="http://schemas.openxmlformats.org/drawingml/2006/picture">
                <pic:pic>
                  <pic:nvPicPr>
                    <pic:cNvPr descr="figures/fig03_planning_objectives.png" id="40" name="Picture"/>
                    <pic:cNvPicPr>
                      <a:picLocks noChangeArrowheads="1" noChangeAspect="1"/>
                    </pic:cNvPicPr>
                  </pic:nvPicPr>
                  <pic:blipFill>
                    <a:blip r:embed="rId38"/>
                    <a:stretch>
                      <a:fillRect/>
                    </a:stretch>
                  </pic:blipFill>
                  <pic:spPr bwMode="auto">
                    <a:xfrm>
                      <a:off x="0" y="0"/>
                      <a:ext cx="5334000" cy="3551268"/>
                    </a:xfrm>
                    <a:prstGeom prst="rect">
                      <a:avLst/>
                    </a:prstGeom>
                    <a:noFill/>
                    <a:ln w="9525">
                      <a:noFill/>
                      <a:headEnd/>
                      <a:tailEnd/>
                    </a:ln>
                  </pic:spPr>
                </pic:pic>
              </a:graphicData>
            </a:graphic>
          </wp:inline>
        </w:drawing>
      </w:r>
    </w:p>
    <w:p>
      <w:pPr>
        <w:pStyle w:val="BodyText"/>
      </w:pPr>
      <w:r>
        <w:rPr>
          <w:b/>
          <w:bCs/>
        </w:rPr>
        <w:t xml:space="preserve">Figure 3 | Conditional planning objectives and morphology diagnostics.</w:t>
      </w:r>
      <w:r>
        <w:t xml:space="preserve"> </w:t>
      </w:r>
      <w:r>
        <w:t xml:space="preserve">The</w:t>
      </w:r>
      <w:r>
        <w:t xml:space="preserve"> </w:t>
      </w:r>
      <w:r>
        <w:t xml:space="preserve">2031 outcomes compare the three models under moderate-growth, green-priority-</w:t>
      </w:r>
      <w:r>
        <w:t xml:space="preserve"> </w:t>
      </w:r>
      <w:r>
        <w:t xml:space="preserve">growth and high-outward-growth actions. Panels A–C show the release objectives:</w:t>
      </w:r>
      <w:r>
        <w:t xml:space="preserve"> </w:t>
      </w:r>
      <w:r>
        <w:t xml:space="preserve">distance to major roads, distance to prior built cells and components in the</w:t>
      </w:r>
      <w:r>
        <w:t xml:space="preserve"> </w:t>
      </w:r>
      <w:r>
        <w:t xml:space="preserve">2024-built ∪ newly-built footprint per 1,000 valid cells. Panel D shows</w:t>
      </w:r>
      <w:r>
        <w:t xml:space="preserve"> </w:t>
      </w:r>
      <w:r>
        <w:t xml:space="preserve">ecological conversion as a descriptive diagnostic; panel E shows vegetation gain</w:t>
      </w:r>
      <w:r>
        <w:t xml:space="preserve"> </w:t>
      </w:r>
      <w:r>
        <w:t xml:space="preserve">as a scenario-input diagnostic; panel F shows the 500-m leapfrog rate. Stars mark</w:t>
      </w:r>
      <w:r>
        <w:t xml:space="preserve"> </w:t>
      </w:r>
      <w:r>
        <w:t xml:space="preserve">non-dominated candidates within each scenario; bars show means ± population SD</w:t>
      </w:r>
      <w:r>
        <w:t xml:space="preserve"> </w:t>
      </w:r>
      <w:r>
        <w:t xml:space="preserve">across three seeds.</w:t>
      </w:r>
    </w:p>
    <w:p>
      <w:pPr>
        <w:pStyle w:val="BodyText"/>
      </w:pPr>
      <w:r>
        <w:drawing>
          <wp:inline>
            <wp:extent cx="5334000" cy="3704556"/>
            <wp:effectExtent b="0" l="0" r="0" t="0"/>
            <wp:docPr descr="" title="" id="42" name="Picture"/>
            <a:graphic>
              <a:graphicData uri="http://schemas.openxmlformats.org/drawingml/2006/picture">
                <pic:pic>
                  <pic:nvPicPr>
                    <pic:cNvPr descr="figures/fig04_mechanism_ablation.png" id="43" name="Picture"/>
                    <pic:cNvPicPr>
                      <a:picLocks noChangeArrowheads="1" noChangeAspect="1"/>
                    </pic:cNvPicPr>
                  </pic:nvPicPr>
                  <pic:blipFill>
                    <a:blip r:embed="rId41"/>
                    <a:stretch>
                      <a:fillRect/>
                    </a:stretch>
                  </pic:blipFill>
                  <pic:spPr bwMode="auto">
                    <a:xfrm>
                      <a:off x="0" y="0"/>
                      <a:ext cx="5334000" cy="3704556"/>
                    </a:xfrm>
                    <a:prstGeom prst="rect">
                      <a:avLst/>
                    </a:prstGeom>
                    <a:noFill/>
                    <a:ln w="9525">
                      <a:noFill/>
                      <a:headEnd/>
                      <a:tailEnd/>
                    </a:ln>
                  </pic:spPr>
                </pic:pic>
              </a:graphicData>
            </a:graphic>
          </wp:inline>
        </w:drawing>
      </w:r>
    </w:p>
    <w:p>
      <w:pPr>
        <w:pStyle w:val="BodyText"/>
      </w:pPr>
      <w:r>
        <w:rPr>
          <w:b/>
          <w:bCs/>
        </w:rPr>
        <w:t xml:space="preserve">Figure 4 | Mechanism controls.</w:t>
      </w:r>
      <w:r>
        <w:t xml:space="preserve"> </w:t>
      </w:r>
      <w:r>
        <w:t xml:space="preserve">Proposal, allocator, action, constraint and</w:t>
      </w:r>
      <w:r>
        <w:t xml:space="preserve"> </w:t>
      </w:r>
      <w:r>
        <w:t xml:space="preserve">writeback controls are compared under the same public-data protocol. Deleting</w:t>
      </w:r>
      <w:r>
        <w:t xml:space="preserve"> </w:t>
      </w:r>
      <w:r>
        <w:t xml:space="preserve">the action lowers historical strict FoM, whereas deleting the hard constraint</w:t>
      </w:r>
      <w:r>
        <w:t xml:space="preserve"> </w:t>
      </w:r>
      <w:r>
        <w:t xml:space="preserve">raises agreement with noisy labels while violating the planning contract.</w:t>
      </w:r>
      <w:r>
        <w:t xml:space="preserve"> </w:t>
      </w:r>
      <w:r>
        <w:t xml:space="preserve">These are diagnostic ablations, not causal policy experiments.</w:t>
      </w:r>
    </w:p>
    <w:p>
      <w:pPr>
        <w:pStyle w:val="BodyText"/>
      </w:pPr>
      <w:r>
        <w:drawing>
          <wp:inline>
            <wp:extent cx="5334000" cy="5443359"/>
            <wp:effectExtent b="0" l="0" r="0" t="0"/>
            <wp:docPr descr="" title="" id="45" name="Picture"/>
            <a:graphic>
              <a:graphicData uri="http://schemas.openxmlformats.org/drawingml/2006/picture">
                <pic:pic>
                  <pic:nvPicPr>
                    <pic:cNvPr descr="figures/fig05_planning_maps_2031.png" id="46" name="Picture"/>
                    <pic:cNvPicPr>
                      <a:picLocks noChangeArrowheads="1" noChangeAspect="1"/>
                    </pic:cNvPicPr>
                  </pic:nvPicPr>
                  <pic:blipFill>
                    <a:blip r:embed="rId44"/>
                    <a:stretch>
                      <a:fillRect/>
                    </a:stretch>
                  </pic:blipFill>
                  <pic:spPr bwMode="auto">
                    <a:xfrm>
                      <a:off x="0" y="0"/>
                      <a:ext cx="5334000" cy="5443359"/>
                    </a:xfrm>
                    <a:prstGeom prst="rect">
                      <a:avLst/>
                    </a:prstGeom>
                    <a:noFill/>
                    <a:ln w="9525">
                      <a:noFill/>
                      <a:headEnd/>
                      <a:tailEnd/>
                    </a:ln>
                  </pic:spPr>
                </pic:pic>
              </a:graphicData>
            </a:graphic>
          </wp:inline>
        </w:drawing>
      </w:r>
    </w:p>
    <w:p>
      <w:pPr>
        <w:pStyle w:val="BodyText"/>
      </w:pPr>
      <w:r>
        <w:rPr>
          <w:b/>
          <w:bCs/>
        </w:rPr>
        <w:t xml:space="preserve">Figure 5 | 2031 spatial footprints.</w:t>
      </w:r>
      <w:r>
        <w:t xml:space="preserve"> </w:t>
      </w:r>
      <w:r>
        <w:t xml:space="preserve">Each panel is a 100-m ensemble raster</w:t>
      </w:r>
      <w:r>
        <w:t xml:space="preserve"> </w:t>
      </w:r>
      <w:r>
        <w:t xml:space="preserve">relative to the observed 2024 state. Overlays identify newly built, newly low-</w:t>
      </w:r>
      <w:r>
        <w:t xml:space="preserve"> </w:t>
      </w:r>
      <w:r>
        <w:t xml:space="preserve">vegetated and retired-built cells; they are raster-cell change footprints, not</w:t>
      </w:r>
      <w:r>
        <w:t xml:space="preserve"> </w:t>
      </w:r>
      <w:r>
        <w:t xml:space="preserve">cadastral parcels.</w:t>
      </w:r>
    </w:p>
    <w:bookmarkEnd w:id="47"/>
    <w:bookmarkStart w:id="4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2026-09-06T11:15:19Z</dcterms:created>
  <dcterms:modified xsi:type="dcterms:W3CDTF">2026-09-06T11:15:19Z</dcterms:modified>
</cp:coreProperties>
</file>

<file path=docProps/custom.xml><?xml version="1.0" encoding="utf-8"?>
<Properties xmlns="http://schemas.openxmlformats.org/officeDocument/2006/custom-properties" xmlns:vt="http://schemas.openxmlformats.org/officeDocument/2006/docPropsVTypes"/>
</file>