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自然资源本体应用客户演示讲稿"/>
    <w:p>
      <w:pPr>
        <w:pStyle w:val="Heading1"/>
        <w:keepNext/>
        <w:keepLines/>
        <w:spacing w:before="240" w:after="160"/>
      </w:pPr>
      <w:r>
        <w:rPr>
          <w:rFonts w:hint="eastAsia"/>
        </w:rPr>
        <w:t xml:space="preserve">自然资源本体应用客户演示讲稿</w:t>
      </w:r>
    </w:p>
    <w:p>
      <w:pPr>
        <w:pStyle w:val="Compact"/>
        <w:numPr>
          <w:ilvl w:val="0"/>
          <w:numId w:val="1001"/>
        </w:numPr>
      </w:pPr>
      <w:r>
        <w:rPr>
          <w:rFonts w:hint="eastAsia"/>
        </w:rPr>
        <w:t xml:space="preserve">文档版本：V1.1</w:t>
      </w:r>
    </w:p>
    <w:p>
      <w:pPr>
        <w:pStyle w:val="Compact"/>
        <w:numPr>
          <w:ilvl w:val="0"/>
          <w:numId w:val="1001"/>
        </w:numPr>
      </w:pPr>
      <w:r>
        <w:rPr>
          <w:rFonts w:hint="eastAsia"/>
        </w:rPr>
        <w:t xml:space="preserve">修订日期：2026-08-05</w:t>
      </w:r>
    </w:p>
    <w:p>
      <w:pPr>
        <w:pStyle w:val="Compact"/>
        <w:numPr>
          <w:ilvl w:val="0"/>
          <w:numId w:val="1001"/>
        </w:numPr>
      </w:pPr>
      <w:r>
        <w:rPr>
          <w:rFonts w:hint="eastAsia"/>
        </w:rPr>
        <w:t xml:space="preserve">本次修订：补充自然资源本体模型在演示中的作用、示例链路及准确表述边界</w:t>
      </w:r>
    </w:p>
    <w:p>
      <w:pPr>
        <w:pStyle w:val="Compact"/>
        <w:numPr>
          <w:ilvl w:val="0"/>
          <w:numId w:val="1001"/>
        </w:numPr>
      </w:pPr>
      <w:r>
        <w:rPr>
          <w:rFonts w:hint="eastAsia"/>
        </w:rPr>
        <w:t xml:space="preserve">演示应用：GIS</w:t>
      </w:r>
      <w:r>
        <w:t xml:space="preserve"> Data Agent</w:t>
      </w:r>
    </w:p>
    <w:p>
      <w:pPr>
        <w:pStyle w:val="Compact"/>
        <w:numPr>
          <w:ilvl w:val="0"/>
          <w:numId w:val="1001"/>
        </w:numPr>
      </w:pPr>
      <w:r>
        <w:rPr>
          <w:rFonts w:hint="eastAsia"/>
        </w:rPr>
        <w:t xml:space="preserve">本体版本：自然资源“一张图”本体</w:t>
      </w:r>
      <w:r>
        <w:t xml:space="preserve"> V2.0.1</w:t>
      </w:r>
    </w:p>
    <w:p>
      <w:pPr>
        <w:pStyle w:val="Compact"/>
        <w:numPr>
          <w:ilvl w:val="0"/>
          <w:numId w:val="1001"/>
        </w:numPr>
      </w:pPr>
      <w:r>
        <w:rPr>
          <w:rFonts w:hint="eastAsia"/>
        </w:rPr>
        <w:t xml:space="preserve">演示数据：规划院提供数据样例及</w:t>
      </w:r>
      <w:r>
        <w:t xml:space="preserve"> Demo </w:t>
      </w:r>
      <w:r>
        <w:rPr>
          <w:rFonts w:hint="eastAsia"/>
        </w:rPr>
        <w:t xml:space="preserve">系统功能演示建议</w:t>
      </w:r>
    </w:p>
    <w:p>
      <w:pPr>
        <w:pStyle w:val="Compact"/>
        <w:numPr>
          <w:ilvl w:val="0"/>
          <w:numId w:val="1001"/>
        </w:numPr>
      </w:pPr>
      <w:r>
        <w:rPr>
          <w:rFonts w:hint="eastAsia"/>
        </w:rPr>
        <w:t xml:space="preserve">场景范围：重庆市璧山区福禄镇和平村、斑竹村</w:t>
      </w:r>
    </w:p>
    <w:p>
      <w:pPr>
        <w:pStyle w:val="Compact"/>
        <w:numPr>
          <w:ilvl w:val="0"/>
          <w:numId w:val="1001"/>
        </w:numPr>
      </w:pPr>
      <w:r>
        <w:rPr>
          <w:rFonts w:hint="eastAsia"/>
        </w:rPr>
        <w:t xml:space="preserve">结论边界：辅助预审，不替代法定审批或行政决定</w:t>
      </w:r>
    </w:p>
    <w:bookmarkStart w:id="10" w:name="一演示主线"/>
    <w:p>
      <w:pPr>
        <w:pStyle w:val="Heading2"/>
        <w:keepNext/>
        <w:keepLines/>
        <w:spacing w:before="200" w:after="120"/>
      </w:pPr>
      <w:r>
        <w:rPr>
          <w:rFonts w:hint="eastAsia"/>
        </w:rPr>
        <w:t xml:space="preserve">一、演示主线</w:t>
      </w:r>
    </w:p>
    <w:p>
      <w:pPr>
        <w:pStyle w:val="FirstParagraph"/>
      </w:pPr>
      <w:r>
        <w:rPr>
          <w:rFonts w:hint="eastAsia"/>
        </w:rPr>
        <w:t xml:space="preserve">本次不按十个菜单逐项展示，而是用一条业务闭环说明时空数据底座如何变得更好用：</w:t>
      </w:r>
    </w:p>
    <w:p>
      <w:pPr>
        <w:pStyle w:val="BlockText"/>
      </w:pPr>
      <w:r>
        <w:rPr>
          <w:rFonts w:hint="eastAsia"/>
        </w:rPr>
        <w:t xml:space="preserve">规划地块从什么状态变成什么状态，属于哪一种自然资源业务过程，是否命中已注册的空间约束，还缺少什么审批证据？</w:t>
      </w:r>
    </w:p>
    <w:p>
      <w:pPr>
        <w:pStyle w:val="FirstParagraph"/>
      </w:pPr>
      <w:r>
        <w:rPr>
          <w:rFonts w:hint="eastAsia"/>
        </w:rPr>
        <w:t xml:space="preserve">和平村负责演示地块级用地转换和空间约束辅助预审；斑竹村负责演示规划前后土地利用结构变化，以及统计指标如何回到具体地块和本体状态。</w:t>
      </w:r>
    </w:p>
    <w:bookmarkStart w:id="9" w:name="页面导航说明"/>
    <w:p>
      <w:pPr>
        <w:pStyle w:val="Heading3"/>
        <w:keepNext/>
        <w:keepLines/>
        <w:spacing w:before="160" w:after="100"/>
      </w:pPr>
      <w:r>
        <w:rPr>
          <w:rFonts w:hint="eastAsia"/>
        </w:rPr>
        <w:t xml:space="preserve">页面导航说明</w:t>
      </w:r>
    </w:p>
    <w:p>
      <w:pPr>
        <w:pStyle w:val="FirstParagraph"/>
      </w:pPr>
      <w:r>
        <w:rPr>
          <w:rFonts w:hint="eastAsia"/>
        </w:rPr>
        <w:t xml:space="preserve">本手册中的“数据治理”“能力闭环”不是</w:t>
      </w:r>
      <w:r>
        <w:t xml:space="preserve"> GIS Data Agent </w:t>
      </w:r>
      <w:r>
        <w:rPr>
          <w:rFonts w:hint="eastAsia"/>
        </w:rPr>
        <w:t xml:space="preserve">的一级页面，也不是“平台运营”下的治理功能。完整入口是：</w:t>
      </w:r>
    </w:p>
    <w:p>
      <w:pPr>
        <w:pStyle w:val="BlockText"/>
      </w:pPr>
      <w:r>
        <w:rPr>
          <w:rFonts w:hint="eastAsia"/>
        </w:rPr>
        <w:t xml:space="preserve">智能分析</w:t>
      </w:r>
      <w:r>
        <w:t xml:space="preserve"> &gt; </w:t>
      </w:r>
      <w:r>
        <w:rPr>
          <w:rFonts w:hint="eastAsia"/>
        </w:rPr>
        <w:t xml:space="preserve">本体应用</w:t>
      </w:r>
      <w:r>
        <w:t xml:space="preserve"> &gt; </w:t>
      </w:r>
      <w:r>
        <w:rPr>
          <w:rFonts w:hint="eastAsia"/>
        </w:rPr>
        <w:t xml:space="preserve">数据治理（或能力闭环）</w:t>
      </w:r>
    </w:p>
    <w:p>
      <w:pPr>
        <w:pStyle w:val="FirstParagraph"/>
      </w:pPr>
      <w:r>
        <w:rPr>
          <w:rFonts w:hint="eastAsia"/>
        </w:rPr>
        <w:t xml:space="preserve">进入“本体应用”后，在白色工作区中找到</w:t>
      </w:r>
      <w:r>
        <w:t xml:space="preserve"> </w:t>
      </w:r>
      <w:r>
        <w:rPr>
          <w:rStyle w:val="VerbatimChar"/>
        </w:rPr>
        <w:t xml:space="preserve">Cognitive Runtime</w:t>
      </w:r>
      <w:r>
        <w:t xml:space="preserve"> </w:t>
      </w:r>
      <w:r>
        <w:rPr>
          <w:rFonts w:hint="eastAsia"/>
        </w:rPr>
        <w:t xml:space="preserve">执行链；其下方依次排列“分析结论、语义证据、数据治理、能力闭环”四个内部页签。屏幕较窄时，先横向滚动“智能分析”的顶部页签栏找到“本体应用”。</w:t>
      </w:r>
    </w:p>
    <w:bookmarkEnd w:id="9"/>
    <w:bookmarkEnd w:id="10"/>
    <w:bookmarkStart w:id="16" w:name="二本体模型在本演示中如何发挥作用"/>
    <w:p>
      <w:pPr>
        <w:pStyle w:val="Heading2"/>
        <w:keepNext/>
        <w:keepLines/>
        <w:spacing w:before="200" w:after="120"/>
      </w:pPr>
      <w:r>
        <w:rPr>
          <w:rFonts w:hint="eastAsia"/>
        </w:rPr>
        <w:t xml:space="preserve">二、本体模型在本演示中如何发挥作用</w:t>
      </w:r>
    </w:p>
    <w:bookmarkStart w:id="11" w:name="Xfc4f2ac175f9b8096a684119cfc66e327d27b28"/>
    <w:p>
      <w:pPr>
        <w:pStyle w:val="Heading3"/>
        <w:keepNext/>
        <w:keepLines/>
        <w:spacing w:before="160" w:after="100"/>
      </w:pPr>
      <w:r>
        <w:t xml:space="preserve">1. </w:t>
      </w:r>
      <w:r>
        <w:rPr>
          <w:rFonts w:hint="eastAsia"/>
        </w:rPr>
        <w:t xml:space="preserve">本体不是展示图，而是业务语义和规则合同</w:t>
      </w:r>
    </w:p>
    <w:p>
      <w:pPr>
        <w:pStyle w:val="FirstParagraph"/>
      </w:pPr>
      <w:r>
        <w:rPr>
          <w:rFonts w:hint="eastAsia"/>
        </w:rPr>
        <w:t xml:space="preserve">本体在本演示中不负责保存全部图斑，也不替代</w:t>
      </w:r>
      <w:r>
        <w:t xml:space="preserve"> GIS </w:t>
      </w:r>
      <w:r>
        <w:rPr>
          <w:rFonts w:hint="eastAsia"/>
        </w:rPr>
        <w:t xml:space="preserve">引擎计算面积。它位于数据与智能体之间，为原始字段、地类代码、空间对象、业务过程、管控规则和证据材料提供统一且版本化的领域语义。</w:t>
      </w:r>
    </w:p>
    <w:p>
      <w:pPr>
        <w:pStyle w:val="BodyText"/>
      </w:pPr>
      <w:r>
        <w:rPr>
          <w:rFonts w:hint="eastAsia"/>
        </w:rPr>
        <w:t xml:space="preserve">演示中的实际处理链路是：</w:t>
      </w:r>
    </w:p>
    <w:p>
      <w:pPr>
        <w:pStyle w:val="BlockText"/>
      </w:pPr>
      <w:r>
        <w:rPr>
          <w:rFonts w:hint="eastAsia"/>
        </w:rPr>
        <w:t xml:space="preserve">原始数据与字段</w:t>
      </w:r>
      <w:r>
        <w:t xml:space="preserve"> → </w:t>
      </w:r>
      <w:r>
        <w:rPr>
          <w:rFonts w:hint="eastAsia"/>
        </w:rPr>
        <w:t xml:space="preserve">本体概念对齐</w:t>
      </w:r>
      <w:r>
        <w:t xml:space="preserve"> → </w:t>
      </w:r>
      <w:r>
        <w:rPr>
          <w:rFonts w:hint="eastAsia"/>
        </w:rPr>
        <w:t xml:space="preserve">地块状态转换识别</w:t>
      </w:r>
      <w:r>
        <w:t xml:space="preserve"> → </w:t>
      </w:r>
      <w:r>
        <w:rPr>
          <w:rFonts w:hint="eastAsia"/>
        </w:rPr>
        <w:t xml:space="preserve">规则和证据要求</w:t>
      </w:r>
      <w:r>
        <w:t xml:space="preserve"> → GIS </w:t>
      </w:r>
      <w:r>
        <w:rPr>
          <w:rFonts w:hint="eastAsia"/>
        </w:rPr>
        <w:t xml:space="preserve">空间计算</w:t>
      </w:r>
      <w:r>
        <w:t xml:space="preserve"> → Agent </w:t>
      </w:r>
      <w:r>
        <w:rPr>
          <w:rFonts w:hint="eastAsia"/>
        </w:rPr>
        <w:t xml:space="preserve">组织可解释结论</w:t>
      </w:r>
    </w:p>
    <w:p>
      <w:pPr>
        <w:pStyle w:val="FirstParagraph"/>
      </w:pPr>
      <w:r>
        <w:rPr>
          <w:rFonts w:hint="eastAsia"/>
        </w:rPr>
        <w:t xml:space="preserve">本体回答“数据表示什么、对象之间是什么关系、一次变化属于什么业务过程、需要满足什么约束”；GIS</w:t>
      </w:r>
      <w:r>
        <w:t xml:space="preserve"> </w:t>
      </w:r>
      <w:r>
        <w:rPr>
          <w:rFonts w:hint="eastAsia"/>
        </w:rPr>
        <w:t xml:space="preserve">引擎回答“在哪里、相交多少”；Agent</w:t>
      </w:r>
      <w:r>
        <w:t xml:space="preserve"> </w:t>
      </w:r>
      <w:r>
        <w:rPr>
          <w:rFonts w:hint="eastAsia"/>
        </w:rPr>
        <w:t xml:space="preserve">回答“用户问的是什么、应该调用哪些能力、怎样解释结果”。</w:t>
      </w:r>
    </w:p>
    <w:bookmarkEnd w:id="11"/>
    <w:bookmarkStart w:id="12" w:name="X29e1173f7e402d9e99653eae642d7b6f4fba926"/>
    <w:p>
      <w:pPr>
        <w:pStyle w:val="Heading3"/>
        <w:keepNext/>
        <w:keepLines/>
        <w:spacing w:before="160" w:after="100"/>
      </w:pPr>
      <w:r>
        <w:t xml:space="preserve">2. </w:t>
      </w:r>
      <w:r>
        <w:rPr>
          <w:rFonts w:hint="eastAsia"/>
        </w:rPr>
        <w:t xml:space="preserve">五项核心作用</w:t>
      </w:r>
    </w:p>
    <w:tbl>
      <w:tblPr>
        <w:tblStyle w:val="Table"/>
        <w:tblW w:type="auto" w:w="0"/>
        <w:tblLayout w:type="fixed"/>
        <w:tblLook w:firstRow="1" w:lastRow="0" w:firstColumn="0" w:lastColumn="0" w:noHBand="0" w:noVBand="0" w:val="0020"/>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2640"/>
        <w:gridCol w:w="2640"/>
        <w:gridCol w:w="2640"/>
      </w:tblGrid>
      <w:tr>
        <w:trPr>
          <w:tblHeader w:val="on"/>
        </w:trPr>
        <w:tc>
          <w:tcPr>
            <w:tcW w:type="dxa" w:w="1701"/>
            <w:vAlign w:val="center"/>
            <w:shd w:fill="1F4E78"/>
          </w:tcPr>
          <w:p>
            <w:pPr>
              <w:pStyle w:val="Compact"/>
              <w:spacing w:before="0" w:after="40" w:line="240" w:lineRule="auto"/>
            </w:pPr>
            <w:r>
              <w:rPr>
                <w:rFonts w:hint="eastAsia"/>
                <w:b/>
                <w:color w:val="FFFFFF"/>
                <w:sz w:val="18"/>
              </w:rPr>
              <w:t xml:space="preserve">本体作用</w:t>
            </w:r>
          </w:p>
        </w:tc>
        <w:tc>
          <w:tcPr>
            <w:tcW w:type="dxa" w:w="3685"/>
            <w:vAlign w:val="center"/>
            <w:shd w:fill="1F4E78"/>
          </w:tcPr>
          <w:p>
            <w:pPr>
              <w:pStyle w:val="Compact"/>
              <w:spacing w:before="0" w:after="40" w:line="240" w:lineRule="auto"/>
            </w:pPr>
            <w:r>
              <w:rPr>
                <w:rFonts w:hint="eastAsia"/>
                <w:b/>
                <w:color w:val="FFFFFF"/>
                <w:sz w:val="18"/>
              </w:rPr>
              <w:t xml:space="preserve">在本演示中的具体体现</w:t>
            </w:r>
          </w:p>
        </w:tc>
        <w:tc>
          <w:tcPr>
            <w:tcW w:type="dxa" w:w="3458"/>
            <w:vAlign w:val="center"/>
            <w:shd w:fill="1F4E78"/>
          </w:tcPr>
          <w:p>
            <w:pPr>
              <w:pStyle w:val="Compact"/>
              <w:spacing w:before="0" w:after="40" w:line="240" w:lineRule="auto"/>
            </w:pPr>
            <w:r>
              <w:rPr>
                <w:rFonts w:hint="eastAsia"/>
                <w:b/>
                <w:color w:val="FFFFFF"/>
                <w:sz w:val="18"/>
              </w:rPr>
              <w:t xml:space="preserve">没有本体时的局限</w:t>
            </w:r>
          </w:p>
        </w:tc>
      </w:tr>
      <w:tr>
        <w:trPr/>
        <w:tc>
          <w:tcPr>
            <w:tcW w:type="dxa" w:w="1701"/>
            <w:vAlign w:val="center"/>
          </w:tcPr>
          <w:p>
            <w:pPr>
              <w:pStyle w:val="Compact"/>
              <w:spacing w:before="0" w:after="40" w:line="240" w:lineRule="auto"/>
            </w:pPr>
            <w:r>
              <w:rPr>
                <w:rFonts w:hint="eastAsia"/>
                <w:sz w:val="18"/>
              </w:rPr>
              <w:t xml:space="preserve">建立统一语义目标</w:t>
            </w:r>
          </w:p>
        </w:tc>
        <w:tc>
          <w:tcPr>
            <w:tcW w:type="dxa" w:w="3685"/>
            <w:vAlign w:val="center"/>
          </w:tcPr>
          <w:p>
            <w:pPr>
              <w:pStyle w:val="Compact"/>
              <w:spacing w:before="0" w:after="40" w:line="240" w:lineRule="auto"/>
            </w:pPr>
            <w:r>
              <w:rPr>
                <w:rFonts w:hint="eastAsia"/>
                <w:sz w:val="18"/>
              </w:rPr>
              <w:t xml:space="preserve">将</w:t>
            </w:r>
            <w:r>
              <w:rPr>
                <w:sz w:val="18"/>
              </w:rPr>
              <w:t xml:space="preserve"> </w:t>
            </w:r>
            <w:r>
              <w:rPr>
                <w:rStyle w:val="VerbatimChar"/>
                <w:sz w:val="18"/>
              </w:rPr>
              <w:t xml:space="preserve">TDGHDL.BSM</w:t>
            </w:r>
            <w:r>
              <w:rPr>
                <w:sz w:val="18"/>
              </w:rPr>
              <w:t xml:space="preserve"> </w:t>
            </w:r>
            <w:r>
              <w:rPr>
                <w:rFonts w:hint="eastAsia"/>
                <w:sz w:val="18"/>
              </w:rPr>
              <w:t xml:space="preserve">对齐到</w:t>
            </w:r>
            <w:r>
              <w:rPr>
                <w:sz w:val="18"/>
              </w:rPr>
              <w:t xml:space="preserve"> </w:t>
            </w:r>
            <w:r>
              <w:rPr>
                <w:rStyle w:val="VerbatimChar"/>
                <w:sz w:val="18"/>
              </w:rPr>
              <w:t xml:space="preserve">LandParcel</w:t>
            </w:r>
            <w:r>
              <w:rPr>
                <w:sz w:val="18"/>
              </w:rPr>
              <w:t xml:space="preserve"> </w:t>
            </w:r>
            <w:r>
              <w:rPr>
                <w:rFonts w:hint="eastAsia"/>
                <w:sz w:val="18"/>
              </w:rPr>
              <w:t xml:space="preserve">的实体标识，将</w:t>
            </w:r>
            <w:r>
              <w:rPr>
                <w:sz w:val="18"/>
              </w:rPr>
              <w:t xml:space="preserve"> </w:t>
            </w:r>
            <w:r>
              <w:rPr>
                <w:rStyle w:val="VerbatimChar"/>
                <w:sz w:val="18"/>
              </w:rPr>
              <w:t xml:space="preserve">JQDLMC</w:t>
            </w:r>
            <w:r>
              <w:rPr>
                <w:sz w:val="18"/>
              </w:rPr>
              <w:t xml:space="preserve">、</w:t>
            </w:r>
            <w:r>
              <w:rPr>
                <w:rStyle w:val="VerbatimChar"/>
                <w:sz w:val="18"/>
              </w:rPr>
              <w:t xml:space="preserve">GHDLMC</w:t>
            </w:r>
            <w:r>
              <w:rPr>
                <w:sz w:val="18"/>
              </w:rPr>
              <w:t xml:space="preserve"> </w:t>
            </w:r>
            <w:r>
              <w:rPr>
                <w:rFonts w:hint="eastAsia"/>
                <w:sz w:val="18"/>
              </w:rPr>
              <w:t xml:space="preserve">对齐到土地利用的源状态和目标状态</w:t>
            </w:r>
          </w:p>
        </w:tc>
        <w:tc>
          <w:tcPr>
            <w:tcW w:type="dxa" w:w="3458"/>
            <w:vAlign w:val="center"/>
          </w:tcPr>
          <w:p>
            <w:pPr>
              <w:pStyle w:val="Compact"/>
              <w:spacing w:before="0" w:after="40" w:line="240" w:lineRule="auto"/>
            </w:pPr>
            <w:r>
              <w:rPr>
                <w:rFonts w:hint="eastAsia"/>
                <w:sz w:val="18"/>
              </w:rPr>
              <w:t xml:space="preserve">系统只能认识表名、字段名和代码，跨系统后需要重复编写解释逻辑</w:t>
            </w:r>
          </w:p>
        </w:tc>
      </w:tr>
      <w:tr>
        <w:trPr/>
        <w:tc>
          <w:tcPr>
            <w:tcW w:type="dxa" w:w="1701"/>
            <w:vAlign w:val="center"/>
            <w:shd w:fill="EAF2F8"/>
          </w:tcPr>
          <w:p>
            <w:pPr>
              <w:pStyle w:val="Compact"/>
              <w:spacing w:before="0" w:after="40" w:line="240" w:lineRule="auto"/>
            </w:pPr>
            <w:r>
              <w:rPr>
                <w:rFonts w:hint="eastAsia"/>
                <w:sz w:val="18"/>
              </w:rPr>
              <w:t xml:space="preserve">识别状态与业务过程</w:t>
            </w:r>
          </w:p>
        </w:tc>
        <w:tc>
          <w:tcPr>
            <w:tcW w:type="dxa" w:w="3685"/>
            <w:vAlign w:val="center"/>
            <w:shd w:fill="EAF2F8"/>
          </w:tcPr>
          <w:p>
            <w:pPr>
              <w:pStyle w:val="Compact"/>
              <w:spacing w:before="0" w:after="40" w:line="240" w:lineRule="auto"/>
            </w:pPr>
            <w:r>
              <w:rPr>
                <w:rFonts w:hint="eastAsia"/>
                <w:sz w:val="18"/>
              </w:rPr>
              <w:t xml:space="preserve">根据源状态和目标状态，将变化解释为农业结构调整、建设占用、土地复垦、土地整治或一般土地利用转换</w:t>
            </w:r>
          </w:p>
        </w:tc>
        <w:tc>
          <w:tcPr>
            <w:tcW w:type="dxa" w:w="3458"/>
            <w:vAlign w:val="center"/>
            <w:shd w:fill="EAF2F8"/>
          </w:tcPr>
          <w:p>
            <w:pPr>
              <w:pStyle w:val="Compact"/>
              <w:spacing w:before="0" w:after="40" w:line="240" w:lineRule="auto"/>
            </w:pPr>
            <w:r>
              <w:rPr>
                <w:rFonts w:hint="eastAsia"/>
                <w:sz w:val="18"/>
              </w:rPr>
              <w:t xml:space="preserve">只能得出“两个字段值不同”，不能说明变化的业务含义</w:t>
            </w:r>
          </w:p>
        </w:tc>
      </w:tr>
      <w:tr>
        <w:trPr/>
        <w:tc>
          <w:tcPr>
            <w:tcW w:type="dxa" w:w="1701"/>
            <w:vAlign w:val="center"/>
          </w:tcPr>
          <w:p>
            <w:pPr>
              <w:pStyle w:val="Compact"/>
              <w:spacing w:before="0" w:after="40" w:line="240" w:lineRule="auto"/>
            </w:pPr>
            <w:r>
              <w:rPr>
                <w:rFonts w:hint="eastAsia"/>
                <w:sz w:val="18"/>
              </w:rPr>
              <w:t xml:space="preserve">提供规则和证据结构</w:t>
            </w:r>
          </w:p>
        </w:tc>
        <w:tc>
          <w:tcPr>
            <w:tcW w:type="dxa" w:w="3685"/>
            <w:vAlign w:val="center"/>
          </w:tcPr>
          <w:p>
            <w:pPr>
              <w:pStyle w:val="Compact"/>
              <w:spacing w:before="0" w:after="40" w:line="240" w:lineRule="auto"/>
            </w:pPr>
            <w:r>
              <w:rPr>
                <w:rFonts w:hint="eastAsia"/>
                <w:sz w:val="18"/>
              </w:rPr>
              <w:t xml:space="preserve">将红线、地灾、林地等表达为对地块转换的约束，并规定建设占用需要审批文件等证据</w:t>
            </w:r>
          </w:p>
        </w:tc>
        <w:tc>
          <w:tcPr>
            <w:tcW w:type="dxa" w:w="3458"/>
            <w:vAlign w:val="center"/>
          </w:tcPr>
          <w:p>
            <w:pPr>
              <w:pStyle w:val="Compact"/>
              <w:spacing w:before="0" w:after="40" w:line="240" w:lineRule="auto"/>
            </w:pPr>
            <w:r>
              <w:rPr>
                <w:rFonts w:hint="eastAsia"/>
                <w:sz w:val="18"/>
              </w:rPr>
              <w:t xml:space="preserve">空间相交结果与业务规则、审批材料彼此分散，容易把“未发现冲突”误报成“合规”</w:t>
            </w:r>
          </w:p>
        </w:tc>
      </w:tr>
      <w:tr>
        <w:trPr/>
        <w:tc>
          <w:tcPr>
            <w:tcW w:type="dxa" w:w="1701"/>
            <w:vAlign w:val="center"/>
            <w:shd w:fill="EAF2F8"/>
          </w:tcPr>
          <w:p>
            <w:pPr>
              <w:pStyle w:val="Compact"/>
              <w:spacing w:before="0" w:after="40" w:line="240" w:lineRule="auto"/>
            </w:pPr>
            <w:r>
              <w:rPr>
                <w:rFonts w:hint="eastAsia"/>
                <w:sz w:val="18"/>
              </w:rPr>
              <w:t xml:space="preserve">组织可追溯证据链</w:t>
            </w:r>
          </w:p>
        </w:tc>
        <w:tc>
          <w:tcPr>
            <w:tcW w:type="dxa" w:w="3685"/>
            <w:vAlign w:val="center"/>
            <w:shd w:fill="EAF2F8"/>
          </w:tcPr>
          <w:p>
            <w:pPr>
              <w:pStyle w:val="Compact"/>
              <w:spacing w:before="0" w:after="40" w:line="240" w:lineRule="auto"/>
            </w:pPr>
            <w:r>
              <w:rPr>
                <w:rFonts w:hint="eastAsia"/>
                <w:sz w:val="18"/>
              </w:rPr>
              <w:t xml:space="preserve">用</w:t>
            </w:r>
            <w:r>
              <w:rPr>
                <w:sz w:val="18"/>
              </w:rPr>
              <w:t xml:space="preserve"> </w:t>
            </w:r>
            <w:r>
              <w:rPr>
                <w:rStyle w:val="VerbatimChar"/>
                <w:sz w:val="18"/>
              </w:rPr>
              <w:t xml:space="preserve">hasSourceState</w:t>
            </w:r>
            <w:r>
              <w:rPr>
                <w:sz w:val="18"/>
              </w:rPr>
              <w:t xml:space="preserve">、</w:t>
            </w:r>
            <w:r>
              <w:rPr>
                <w:rStyle w:val="VerbatimChar"/>
                <w:sz w:val="18"/>
              </w:rPr>
              <w:t xml:space="preserve">affectsParcel</w:t>
            </w:r>
            <w:r>
              <w:rPr>
                <w:sz w:val="18"/>
              </w:rPr>
              <w:t xml:space="preserve">、</w:t>
            </w:r>
            <w:r>
              <w:rPr>
                <w:rStyle w:val="VerbatimChar"/>
                <w:sz w:val="18"/>
              </w:rPr>
              <w:t xml:space="preserve">hasTargetState</w:t>
            </w:r>
            <w:r>
              <w:rPr>
                <w:sz w:val="18"/>
              </w:rPr>
              <w:t xml:space="preserve">、</w:t>
            </w:r>
            <w:r>
              <w:rPr>
                <w:rStyle w:val="VerbatimChar"/>
                <w:sz w:val="18"/>
              </w:rPr>
              <w:t xml:space="preserve">constrainedBy</w:t>
            </w:r>
            <w:r>
              <w:rPr>
                <w:sz w:val="18"/>
              </w:rPr>
              <w:t xml:space="preserve">、</w:t>
            </w:r>
            <w:r>
              <w:rPr>
                <w:rStyle w:val="VerbatimChar"/>
                <w:sz w:val="18"/>
              </w:rPr>
              <w:t xml:space="preserve">authorizedBy</w:t>
            </w:r>
            <w:r>
              <w:rPr>
                <w:sz w:val="18"/>
              </w:rPr>
              <w:t xml:space="preserve"> </w:t>
            </w:r>
            <w:r>
              <w:rPr>
                <w:rFonts w:hint="eastAsia"/>
                <w:sz w:val="18"/>
              </w:rPr>
              <w:t xml:space="preserve">等关系连接结论、对象、过程、约束和依据</w:t>
            </w:r>
          </w:p>
        </w:tc>
        <w:tc>
          <w:tcPr>
            <w:tcW w:type="dxa" w:w="3458"/>
            <w:vAlign w:val="center"/>
            <w:shd w:fill="EAF2F8"/>
          </w:tcPr>
          <w:p>
            <w:pPr>
              <w:pStyle w:val="Compact"/>
              <w:spacing w:before="0" w:after="40" w:line="240" w:lineRule="auto"/>
            </w:pPr>
            <w:r>
              <w:rPr>
                <w:rFonts w:hint="eastAsia"/>
                <w:sz w:val="18"/>
              </w:rPr>
              <w:t xml:space="preserve">只能看到结果数字，难以追溯为什么得出该结论以及依据来自哪里</w:t>
            </w:r>
          </w:p>
        </w:tc>
      </w:tr>
      <w:tr>
        <w:trPr/>
        <w:tc>
          <w:tcPr>
            <w:tcW w:type="dxa" w:w="1701"/>
            <w:vAlign w:val="center"/>
          </w:tcPr>
          <w:p>
            <w:pPr>
              <w:pStyle w:val="Compact"/>
              <w:spacing w:before="0" w:after="40" w:line="240" w:lineRule="auto"/>
            </w:pPr>
            <w:r>
              <w:rPr>
                <w:rFonts w:hint="eastAsia"/>
                <w:sz w:val="18"/>
              </w:rPr>
              <w:t xml:space="preserve">形成智能体稳定知识接口</w:t>
            </w:r>
          </w:p>
        </w:tc>
        <w:tc>
          <w:tcPr>
            <w:tcW w:type="dxa" w:w="3685"/>
            <w:vAlign w:val="center"/>
          </w:tcPr>
          <w:p>
            <w:pPr>
              <w:pStyle w:val="Compact"/>
              <w:spacing w:before="0" w:after="40" w:line="240" w:lineRule="auto"/>
            </w:pPr>
            <w:r>
              <w:rPr>
                <w:sz w:val="18"/>
              </w:rPr>
              <w:t xml:space="preserve">Agent </w:t>
            </w:r>
            <w:r>
              <w:rPr>
                <w:rFonts w:hint="eastAsia"/>
                <w:sz w:val="18"/>
              </w:rPr>
              <w:t xml:space="preserve">不必依赖某个数据表的临时字段，而是围绕“地块、状态、转换、约束、证据”等稳定概念理解问题和组织工具调用</w:t>
            </w:r>
          </w:p>
        </w:tc>
        <w:tc>
          <w:tcPr>
            <w:tcW w:type="dxa" w:w="3458"/>
            <w:vAlign w:val="center"/>
          </w:tcPr>
          <w:p>
            <w:pPr>
              <w:pStyle w:val="Compact"/>
              <w:spacing w:before="0" w:after="40" w:line="240" w:lineRule="auto"/>
            </w:pPr>
            <w:r>
              <w:rPr>
                <w:rFonts w:hint="eastAsia"/>
                <w:sz w:val="18"/>
              </w:rPr>
              <w:t xml:space="preserve">数据表或部门术语改变后，提示词和应用逻辑容易漂移，跨部门复用成本高</w:t>
            </w:r>
          </w:p>
        </w:tc>
      </w:tr>
    </w:tbl>
    <w:bookmarkEnd w:id="12"/>
    <w:bookmarkStart w:id="13" w:name="X89b1afe5facf34fd9b5a2e9c6eb46165f914e51"/>
    <w:p>
      <w:pPr>
        <w:pStyle w:val="Heading3"/>
        <w:keepNext/>
        <w:keepLines/>
        <w:spacing w:before="160" w:after="100"/>
      </w:pPr>
      <w:r>
        <w:t xml:space="preserve">3. </w:t>
      </w:r>
      <w:r>
        <w:rPr>
          <w:rFonts w:hint="eastAsia"/>
        </w:rPr>
        <w:t xml:space="preserve">一个地块如何被本体解释</w:t>
      </w:r>
    </w:p>
    <w:p>
      <w:pPr>
        <w:pStyle w:val="FirstParagraph"/>
      </w:pPr>
      <w:r>
        <w:rPr>
          <w:rFonts w:hint="eastAsia"/>
        </w:rPr>
        <w:t xml:space="preserve">以某一规划图斑“规划前为旱地、规划后为村居住用地”为例，原始数据只提供三个关键事实：</w:t>
      </w:r>
    </w:p>
    <w:p>
      <w:pPr>
        <w:pStyle w:val="Compact"/>
        <w:numPr>
          <w:ilvl w:val="0"/>
          <w:numId w:val="1002"/>
        </w:numPr>
      </w:pPr>
      <w:r>
        <w:rPr>
          <w:rStyle w:val="VerbatimChar"/>
        </w:rPr>
        <w:t xml:space="preserve">BSM</w:t>
      </w:r>
      <w:r>
        <w:rPr>
          <w:rFonts w:hint="eastAsia"/>
        </w:rPr>
        <w:t xml:space="preserve">：图斑标识；</w:t>
      </w:r>
    </w:p>
    <w:p>
      <w:pPr>
        <w:pStyle w:val="Compact"/>
        <w:numPr>
          <w:ilvl w:val="0"/>
          <w:numId w:val="1002"/>
        </w:numPr>
      </w:pPr>
      <w:r>
        <w:rPr>
          <w:rStyle w:val="VerbatimChar"/>
        </w:rPr>
        <w:t xml:space="preserve">JQDLMC = </w:t>
      </w:r>
      <w:r>
        <w:rPr>
          <w:rStyle w:val="VerbatimChar"/>
          <w:rFonts w:hint="eastAsia"/>
        </w:rPr>
        <w:t xml:space="preserve">旱地</w:t>
      </w:r>
      <w:r>
        <w:rPr>
          <w:rFonts w:hint="eastAsia"/>
        </w:rPr>
        <w:t xml:space="preserve">：规划前地类；</w:t>
      </w:r>
    </w:p>
    <w:p>
      <w:pPr>
        <w:pStyle w:val="Compact"/>
        <w:numPr>
          <w:ilvl w:val="0"/>
          <w:numId w:val="1002"/>
        </w:numPr>
      </w:pPr>
      <w:r>
        <w:rPr>
          <w:rStyle w:val="VerbatimChar"/>
        </w:rPr>
        <w:t xml:space="preserve">GHDLMC = </w:t>
      </w:r>
      <w:r>
        <w:rPr>
          <w:rStyle w:val="VerbatimChar"/>
          <w:rFonts w:hint="eastAsia"/>
        </w:rPr>
        <w:t xml:space="preserve">村居住用地</w:t>
      </w:r>
      <w:r>
        <w:rPr>
          <w:rFonts w:hint="eastAsia"/>
        </w:rPr>
        <w:t xml:space="preserve">：规划后地类。</w:t>
      </w:r>
    </w:p>
    <w:p>
      <w:pPr>
        <w:pStyle w:val="FirstParagraph"/>
      </w:pPr>
      <w:r>
        <w:rPr>
          <w:rFonts w:hint="eastAsia"/>
        </w:rPr>
        <w:t xml:space="preserve">经过本体语义对齐后，该图斑被组织为：</w:t>
      </w:r>
    </w:p>
    <w:p>
      <w:pPr>
        <w:pStyle w:val="BlockText"/>
      </w:pPr>
      <w:r>
        <w:rPr>
          <w:rFonts w:hint="eastAsia"/>
        </w:rPr>
        <w:t xml:space="preserve">地块实体</w:t>
      </w:r>
      <w:r>
        <w:t xml:space="preserve"> </w:t>
      </w:r>
      <w:r>
        <w:rPr>
          <w:rStyle w:val="VerbatimChar"/>
        </w:rPr>
        <w:t xml:space="preserve">LandParcel</w:t>
      </w:r>
      <w:r>
        <w:t xml:space="preserve"> </w:t>
      </w:r>
      <w:r>
        <w:t xml:space="preserve">→ </w:t>
      </w:r>
      <w:r>
        <w:rPr>
          <w:rFonts w:hint="eastAsia"/>
        </w:rPr>
        <w:t xml:space="preserve">源状态“耕地利用状态”</w:t>
      </w:r>
      <w:r>
        <w:t xml:space="preserve"> → </w:t>
      </w:r>
      <w:r>
        <w:rPr>
          <w:rFonts w:hint="eastAsia"/>
        </w:rPr>
        <w:t xml:space="preserve">转换过程“建设占用”</w:t>
      </w:r>
      <w:r>
        <w:t xml:space="preserve"> → </w:t>
      </w:r>
      <w:r>
        <w:rPr>
          <w:rFonts w:hint="eastAsia"/>
        </w:rPr>
        <w:t xml:space="preserve">目标状态“建设用地利用状态”</w:t>
      </w:r>
    </w:p>
    <w:p>
      <w:pPr>
        <w:pStyle w:val="FirstParagraph"/>
      </w:pPr>
      <w:r>
        <w:rPr>
          <w:rFonts w:hint="eastAsia"/>
        </w:rPr>
        <w:t xml:space="preserve">“建设占用”不是简单标签，而是带有业务约束的过程类型。它要求进一步检查：</w:t>
      </w:r>
    </w:p>
    <w:p>
      <w:pPr>
        <w:pStyle w:val="Compact"/>
        <w:numPr>
          <w:ilvl w:val="0"/>
          <w:numId w:val="1003"/>
        </w:numPr>
      </w:pPr>
      <w:r>
        <w:rPr>
          <w:rFonts w:hint="eastAsia"/>
        </w:rPr>
        <w:t xml:space="preserve">是否与生态保护红线、历史文化保护要素等禁止性或保护性范围相交；</w:t>
      </w:r>
    </w:p>
    <w:p>
      <w:pPr>
        <w:pStyle w:val="Compact"/>
        <w:numPr>
          <w:ilvl w:val="0"/>
          <w:numId w:val="1003"/>
        </w:numPr>
      </w:pPr>
      <w:r>
        <w:rPr>
          <w:rFonts w:hint="eastAsia"/>
        </w:rPr>
        <w:t xml:space="preserve">是否命中地质灾害、林地等条件性约束；</w:t>
      </w:r>
    </w:p>
    <w:p>
      <w:pPr>
        <w:pStyle w:val="Compact"/>
        <w:numPr>
          <w:ilvl w:val="0"/>
          <w:numId w:val="1003"/>
        </w:numPr>
      </w:pPr>
      <w:r>
        <w:rPr>
          <w:rFonts w:hint="eastAsia"/>
        </w:rPr>
        <w:t xml:space="preserve">是否通过</w:t>
      </w:r>
      <w:r>
        <w:t xml:space="preserve"> </w:t>
      </w:r>
      <w:r>
        <w:rPr>
          <w:rStyle w:val="VerbatimChar"/>
        </w:rPr>
        <w:t xml:space="preserve">authorizedBy</w:t>
      </w:r>
      <w:r>
        <w:t xml:space="preserve"> </w:t>
      </w:r>
      <w:r>
        <w:rPr>
          <w:rFonts w:hint="eastAsia"/>
        </w:rPr>
        <w:t xml:space="preserve">关联审批文件；</w:t>
      </w:r>
    </w:p>
    <w:p>
      <w:pPr>
        <w:pStyle w:val="Compact"/>
        <w:numPr>
          <w:ilvl w:val="0"/>
          <w:numId w:val="1003"/>
        </w:numPr>
      </w:pPr>
      <w:r>
        <w:rPr>
          <w:rFonts w:hint="eastAsia"/>
        </w:rPr>
        <w:t xml:space="preserve">分析结论能否通过来源文件、字段、本体</w:t>
      </w:r>
      <w:r>
        <w:t xml:space="preserve"> </w:t>
      </w:r>
      <w:r>
        <w:rPr>
          <w:rFonts w:hint="eastAsia"/>
        </w:rPr>
        <w:t xml:space="preserve">URI、规则和版本哈希进行追溯。</w:t>
      </w:r>
    </w:p>
    <w:p>
      <w:pPr>
        <w:pStyle w:val="FirstParagraph"/>
      </w:pPr>
      <w:r>
        <w:rPr>
          <w:rFonts w:hint="eastAsia"/>
        </w:rPr>
        <w:t xml:space="preserve">因此，一个没有命中空间冲突但缺少审批文件的建设占用图斑，系统显示“材料待补”，而不是“初筛通过”。这正是本体把空间分析提升为领域业务分析的关键体现。</w:t>
      </w:r>
    </w:p>
    <w:bookmarkEnd w:id="13"/>
    <w:bookmarkStart w:id="14" w:name="X2d9134d20ce949b715d0665f95a1ea73fe09c32"/>
    <w:p>
      <w:pPr>
        <w:pStyle w:val="Heading3"/>
        <w:keepNext/>
        <w:keepLines/>
        <w:spacing w:before="160" w:after="100"/>
      </w:pPr>
      <w:r>
        <w:t xml:space="preserve">4. </w:t>
      </w:r>
      <w:r>
        <w:rPr>
          <w:rFonts w:hint="eastAsia"/>
        </w:rPr>
        <w:t xml:space="preserve">本体如何支持统计分析和跨部门协同</w:t>
      </w:r>
    </w:p>
    <w:p>
      <w:pPr>
        <w:pStyle w:val="FirstParagraph"/>
      </w:pPr>
      <w:r>
        <w:rPr>
          <w:rFonts w:hint="eastAsia"/>
        </w:rPr>
        <w:t xml:space="preserve">在斑竹村场景中，结构调整表和规划图斑原本是两个不同粒度的数据来源。本体将“旱地、园地、林地、宅基地”等术语归入稳定的土地利用状态体系，使统计表中的总量变化能够与具体图斑上的状态转换建立一致解释。</w:t>
      </w:r>
    </w:p>
    <w:p>
      <w:pPr>
        <w:pStyle w:val="BodyText"/>
      </w:pPr>
      <w:r>
        <w:rPr>
          <w:rFonts w:hint="eastAsia"/>
        </w:rPr>
        <w:t xml:space="preserve">跨部门扩展时，其他部门不必接受自然资源部门内部的全部表结构或实体编码，只需将自己的术语和数据字段映射到共享概念。例如，农业、林业、生态环境和应急管理数据可以分别对齐到耕地、林地、生态约束和地灾约束，再由</w:t>
      </w:r>
      <w:r>
        <w:t xml:space="preserve"> MMFE </w:t>
      </w:r>
      <w:r>
        <w:rPr>
          <w:rFonts w:hint="eastAsia"/>
        </w:rPr>
        <w:t xml:space="preserve">执行映射与冲突处理。这样保留各部门原有数据体系，同时在语义层形成可协同的共同语言。</w:t>
      </w:r>
    </w:p>
    <w:bookmarkEnd w:id="14"/>
    <w:bookmarkStart w:id="15" w:name="X5355d39ba97980c5baf24b8fc07766b20abb5c2"/>
    <w:p>
      <w:pPr>
        <w:pStyle w:val="Heading3"/>
        <w:keepNext/>
        <w:keepLines/>
        <w:spacing w:before="160" w:after="100"/>
      </w:pPr>
      <w:r>
        <w:t xml:space="preserve">5. </w:t>
      </w:r>
      <w:r>
        <w:rPr>
          <w:rFonts w:hint="eastAsia"/>
        </w:rPr>
        <w:t xml:space="preserve">技术职责和演示边界</w:t>
      </w:r>
    </w:p>
    <w:tbl>
      <w:tblPr>
        <w:tblStyle w:val="Table"/>
        <w:tblW w:type="auto" w:w="0"/>
        <w:tblLayout w:type="fixed"/>
        <w:tblLook w:firstRow="1" w:lastRow="0" w:firstColumn="0" w:lastColumn="0" w:noHBand="0" w:noVBand="0" w:val="0020"/>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3960"/>
        <w:gridCol w:w="3960"/>
      </w:tblGrid>
      <w:tr>
        <w:trPr>
          <w:tblHeader w:val="on"/>
        </w:trPr>
        <w:tc>
          <w:tcPr>
            <w:tcW w:type="dxa" w:w="2268"/>
            <w:vAlign w:val="center"/>
            <w:shd w:fill="1F4E78"/>
          </w:tcPr>
          <w:p>
            <w:pPr>
              <w:pStyle w:val="Compact"/>
              <w:spacing w:before="0" w:after="40" w:line="240" w:lineRule="auto"/>
            </w:pPr>
            <w:r>
              <w:rPr>
                <w:rFonts w:hint="eastAsia"/>
                <w:b/>
                <w:color w:val="FFFFFF"/>
                <w:sz w:val="18"/>
              </w:rPr>
              <w:t xml:space="preserve">组件</w:t>
            </w:r>
          </w:p>
        </w:tc>
        <w:tc>
          <w:tcPr>
            <w:tcW w:type="dxa" w:w="6576"/>
            <w:vAlign w:val="center"/>
            <w:shd w:fill="1F4E78"/>
          </w:tcPr>
          <w:p>
            <w:pPr>
              <w:pStyle w:val="Compact"/>
              <w:spacing w:before="0" w:after="40" w:line="240" w:lineRule="auto"/>
            </w:pPr>
            <w:r>
              <w:rPr>
                <w:rFonts w:hint="eastAsia"/>
                <w:b/>
                <w:color w:val="FFFFFF"/>
                <w:sz w:val="18"/>
              </w:rPr>
              <w:t xml:space="preserve">本演示中的职责</w:t>
            </w:r>
          </w:p>
        </w:tc>
      </w:tr>
      <w:tr>
        <w:trPr/>
        <w:tc>
          <w:tcPr>
            <w:tcW w:type="dxa" w:w="2268"/>
            <w:vAlign w:val="center"/>
          </w:tcPr>
          <w:p>
            <w:pPr>
              <w:pStyle w:val="Compact"/>
              <w:spacing w:before="0" w:after="40" w:line="240" w:lineRule="auto"/>
            </w:pPr>
            <w:r>
              <w:rPr>
                <w:rFonts w:hint="eastAsia"/>
                <w:sz w:val="18"/>
              </w:rPr>
              <w:t xml:space="preserve">自然资源本体</w:t>
            </w:r>
            <w:r>
              <w:rPr>
                <w:sz w:val="18"/>
              </w:rPr>
              <w:t xml:space="preserve"> V2.0.1</w:t>
            </w:r>
          </w:p>
        </w:tc>
        <w:tc>
          <w:tcPr>
            <w:tcW w:type="dxa" w:w="6576"/>
            <w:vAlign w:val="center"/>
          </w:tcPr>
          <w:p>
            <w:pPr>
              <w:pStyle w:val="Compact"/>
              <w:spacing w:before="0" w:after="40" w:line="240" w:lineRule="auto"/>
            </w:pPr>
            <w:r>
              <w:rPr>
                <w:rFonts w:hint="eastAsia"/>
                <w:sz w:val="18"/>
              </w:rPr>
              <w:t xml:space="preserve">定义实体、状态、过程、关系、规则、证据语义及稳定</w:t>
            </w:r>
            <w:r>
              <w:rPr>
                <w:sz w:val="18"/>
              </w:rPr>
              <w:t xml:space="preserve"> URI</w:t>
            </w:r>
          </w:p>
        </w:tc>
      </w:tr>
      <w:tr>
        <w:trPr/>
        <w:tc>
          <w:tcPr>
            <w:tcW w:type="dxa" w:w="2268"/>
            <w:vAlign w:val="center"/>
            <w:shd w:fill="EAF2F8"/>
          </w:tcPr>
          <w:p>
            <w:pPr>
              <w:pStyle w:val="Compact"/>
              <w:spacing w:before="0" w:after="40" w:line="240" w:lineRule="auto"/>
            </w:pPr>
            <w:r>
              <w:rPr>
                <w:sz w:val="18"/>
              </w:rPr>
              <w:t xml:space="preserve">MMFE</w:t>
            </w:r>
          </w:p>
        </w:tc>
        <w:tc>
          <w:tcPr>
            <w:tcW w:type="dxa" w:w="6576"/>
            <w:vAlign w:val="center"/>
            <w:shd w:fill="EAF2F8"/>
          </w:tcPr>
          <w:p>
            <w:pPr>
              <w:pStyle w:val="Compact"/>
              <w:spacing w:before="0" w:after="40" w:line="240" w:lineRule="auto"/>
            </w:pPr>
            <w:r>
              <w:rPr>
                <w:rFonts w:hint="eastAsia"/>
                <w:sz w:val="18"/>
              </w:rPr>
              <w:t xml:space="preserve">按本体提供的目标语义执行字段和术语对齐，保留未决映射与冲突</w:t>
            </w:r>
          </w:p>
        </w:tc>
      </w:tr>
      <w:tr>
        <w:trPr/>
        <w:tc>
          <w:tcPr>
            <w:tcW w:type="dxa" w:w="2268"/>
            <w:vAlign w:val="center"/>
          </w:tcPr>
          <w:p>
            <w:pPr>
              <w:pStyle w:val="Compact"/>
              <w:spacing w:before="0" w:after="40" w:line="240" w:lineRule="auto"/>
            </w:pPr>
            <w:r>
              <w:rPr>
                <w:sz w:val="18"/>
              </w:rPr>
              <w:t xml:space="preserve">GIS </w:t>
            </w:r>
            <w:r>
              <w:rPr>
                <w:rFonts w:hint="eastAsia"/>
                <w:sz w:val="18"/>
              </w:rPr>
              <w:t xml:space="preserve">引擎</w:t>
            </w:r>
          </w:p>
        </w:tc>
        <w:tc>
          <w:tcPr>
            <w:tcW w:type="dxa" w:w="6576"/>
            <w:vAlign w:val="center"/>
          </w:tcPr>
          <w:p>
            <w:pPr>
              <w:pStyle w:val="Compact"/>
              <w:spacing w:before="0" w:after="40" w:line="240" w:lineRule="auto"/>
            </w:pPr>
            <w:r>
              <w:rPr>
                <w:rFonts w:hint="eastAsia"/>
                <w:sz w:val="18"/>
              </w:rPr>
              <w:t xml:space="preserve">在源投影坐标系中执行几何修复、空间叠加和面积计算</w:t>
            </w:r>
          </w:p>
        </w:tc>
      </w:tr>
      <w:tr>
        <w:trPr/>
        <w:tc>
          <w:tcPr>
            <w:tcW w:type="dxa" w:w="2268"/>
            <w:vAlign w:val="center"/>
            <w:shd w:fill="EAF2F8"/>
          </w:tcPr>
          <w:p>
            <w:pPr>
              <w:pStyle w:val="Compact"/>
              <w:spacing w:before="0" w:after="40" w:line="240" w:lineRule="auto"/>
            </w:pPr>
            <w:r>
              <w:rPr>
                <w:sz w:val="18"/>
              </w:rPr>
              <w:t xml:space="preserve">SHACL</w:t>
            </w:r>
          </w:p>
        </w:tc>
        <w:tc>
          <w:tcPr>
            <w:tcW w:type="dxa" w:w="6576"/>
            <w:vAlign w:val="center"/>
            <w:shd w:fill="EAF2F8"/>
          </w:tcPr>
          <w:p>
            <w:pPr>
              <w:pStyle w:val="Compact"/>
              <w:spacing w:before="0" w:after="40" w:line="240" w:lineRule="auto"/>
            </w:pPr>
            <w:r>
              <w:rPr>
                <w:rFonts w:hint="eastAsia"/>
                <w:sz w:val="18"/>
              </w:rPr>
              <w:t xml:space="preserve">表达状态转换记录、来源、法律依据和审批证据的完整性约束</w:t>
            </w:r>
          </w:p>
        </w:tc>
      </w:tr>
      <w:tr>
        <w:trPr/>
        <w:tc>
          <w:tcPr>
            <w:tcW w:type="dxa" w:w="2268"/>
            <w:vAlign w:val="center"/>
          </w:tcPr>
          <w:p>
            <w:pPr>
              <w:pStyle w:val="Compact"/>
              <w:spacing w:before="0" w:after="40" w:line="240" w:lineRule="auto"/>
            </w:pPr>
            <w:r>
              <w:rPr>
                <w:sz w:val="18"/>
              </w:rPr>
              <w:t xml:space="preserve">Agent</w:t>
            </w:r>
          </w:p>
        </w:tc>
        <w:tc>
          <w:tcPr>
            <w:tcW w:type="dxa" w:w="6576"/>
            <w:vAlign w:val="center"/>
          </w:tcPr>
          <w:p>
            <w:pPr>
              <w:pStyle w:val="Compact"/>
              <w:spacing w:before="0" w:after="40" w:line="240" w:lineRule="auto"/>
            </w:pPr>
            <w:r>
              <w:rPr>
                <w:rFonts w:hint="eastAsia"/>
                <w:sz w:val="18"/>
              </w:rPr>
              <w:t xml:space="preserve">解析业务问题、规划执行步骤、调用工具并组织证据化解释</w:t>
            </w:r>
          </w:p>
        </w:tc>
      </w:tr>
    </w:tbl>
    <w:p>
      <w:pPr>
        <w:pStyle w:val="BodyText"/>
      </w:pPr>
      <w:r>
        <w:rPr>
          <w:rFonts w:hint="eastAsia"/>
        </w:rPr>
        <w:t xml:space="preserve">当前客户演示使用与本体</w:t>
      </w:r>
      <w:r>
        <w:t xml:space="preserve"> V2.0.1 </w:t>
      </w:r>
      <w:r>
        <w:rPr>
          <w:rFonts w:hint="eastAsia"/>
        </w:rPr>
        <w:t xml:space="preserve">哈希绑定的不可变演示包。状态映射、转换识别和空间结果在演示数据构建阶段按照本体语义及规则确定性编译，运行时校验本体版本和数据文件哈希后读取结果。因此，应表述为“本体约束并驱动演示语义链路”，不表述为“每次点击都由大模型或</w:t>
      </w:r>
      <w:r>
        <w:t xml:space="preserve"> OWL </w:t>
      </w:r>
      <w:r>
        <w:rPr>
          <w:rFonts w:hint="eastAsia"/>
        </w:rPr>
        <w:t xml:space="preserve">推理器临时生成全部结论”。</w:t>
      </w:r>
    </w:p>
    <w:p>
      <w:pPr>
        <w:pStyle w:val="BodyText"/>
      </w:pPr>
      <w:r>
        <w:rPr>
          <w:rFonts w:hint="eastAsia"/>
        </w:rPr>
        <w:t xml:space="preserve">建议面向客户使用以下表述：</w:t>
      </w:r>
    </w:p>
    <w:p>
      <w:pPr>
        <w:pStyle w:val="BlockText"/>
      </w:pPr>
      <w:r>
        <w:rPr>
          <w:rFonts w:hint="eastAsia"/>
        </w:rPr>
        <w:t xml:space="preserve">在这个演示中，本体是时空数据底座的业务语义内核。它把不同来源的字段和代码翻译成统一的地块、状态、过程、约束和证据关系；GIS</w:t>
      </w:r>
      <w:r>
        <w:t xml:space="preserve"> </w:t>
      </w:r>
      <w:r>
        <w:rPr>
          <w:rFonts w:hint="eastAsia"/>
        </w:rPr>
        <w:t xml:space="preserve">引擎据此完成空间计算，智能体据此理解问题并解释结果，使分析从“查到了哪些数据”升级为“这些数据在业务上意味着什么、为什么得到这个结论、还缺少什么依据”。</w:t>
      </w:r>
    </w:p>
    <w:bookmarkEnd w:id="15"/>
    <w:bookmarkEnd w:id="16"/>
    <w:bookmarkStart w:id="24" w:name="三30-分钟安排"/>
    <w:p>
      <w:pPr>
        <w:pStyle w:val="Heading2"/>
        <w:keepNext/>
        <w:keepLines/>
        <w:spacing w:before="200" w:after="120"/>
      </w:pPr>
      <w:r>
        <w:rPr>
          <w:rFonts w:hint="eastAsia"/>
        </w:rPr>
        <w:t xml:space="preserve">三、30</w:t>
      </w:r>
      <w:r>
        <w:t xml:space="preserve"> </w:t>
      </w:r>
      <w:r>
        <w:rPr>
          <w:rFonts w:hint="eastAsia"/>
        </w:rPr>
        <w:t xml:space="preserve">分钟安排</w:t>
      </w:r>
    </w:p>
    <w:bookmarkStart w:id="17" w:name="X782c91e884e02389b86aa7093d54864ca6ed09f"/>
    <w:p>
      <w:pPr>
        <w:pStyle w:val="Heading3"/>
        <w:keepNext/>
        <w:keepLines/>
        <w:spacing w:before="160" w:after="100"/>
      </w:pPr>
      <w:r>
        <w:t xml:space="preserve">0-3 </w:t>
      </w:r>
      <w:r>
        <w:rPr>
          <w:rFonts w:hint="eastAsia"/>
        </w:rPr>
        <w:t xml:space="preserve">分钟：传统模式的问题</w:t>
      </w:r>
    </w:p>
    <w:p>
      <w:pPr>
        <w:pStyle w:val="FirstParagraph"/>
      </w:pPr>
      <w:r>
        <w:rPr>
          <w:rFonts w:hint="eastAsia"/>
        </w:rPr>
        <w:t xml:space="preserve">打开</w:t>
      </w:r>
      <w:r>
        <w:t xml:space="preserve"> GIS Data Agent </w:t>
      </w:r>
      <w:r>
        <w:rPr>
          <w:rFonts w:hint="eastAsia"/>
        </w:rPr>
        <w:t xml:space="preserve">的“智能分析</w:t>
      </w:r>
      <w:r>
        <w:t xml:space="preserve"> &gt; </w:t>
      </w:r>
      <w:r>
        <w:rPr>
          <w:rFonts w:hint="eastAsia"/>
        </w:rPr>
        <w:t xml:space="preserve">本体应用”。</w:t>
      </w:r>
    </w:p>
    <w:p>
      <w:pPr>
        <w:pStyle w:val="BodyText"/>
      </w:pPr>
      <w:r>
        <w:rPr>
          <w:rFonts w:hint="eastAsia"/>
        </w:rPr>
        <w:t xml:space="preserve">讲解要点：</w:t>
      </w:r>
    </w:p>
    <w:p>
      <w:pPr>
        <w:pStyle w:val="Compact"/>
        <w:numPr>
          <w:ilvl w:val="0"/>
          <w:numId w:val="1004"/>
        </w:numPr>
      </w:pPr>
      <w:r>
        <w:rPr>
          <w:rFonts w:hint="eastAsia"/>
        </w:rPr>
        <w:t xml:space="preserve">传统数据底座能够保存和展示数据，但字段、代码、业务规则和证据仍分散在不同系统和文档中。</w:t>
      </w:r>
    </w:p>
    <w:p>
      <w:pPr>
        <w:pStyle w:val="Compact"/>
        <w:numPr>
          <w:ilvl w:val="0"/>
          <w:numId w:val="1004"/>
        </w:numPr>
      </w:pPr>
      <w:r>
        <w:rPr>
          <w:rFonts w:hint="eastAsia"/>
        </w:rPr>
        <w:t xml:space="preserve">地理实体编码回答“它是谁”；本体进一步回答“它是什么、处于什么状态、发生了什么过程、受什么规则约束、依据在哪里”。</w:t>
      </w:r>
    </w:p>
    <w:p>
      <w:pPr>
        <w:pStyle w:val="Compact"/>
        <w:numPr>
          <w:ilvl w:val="0"/>
          <w:numId w:val="1004"/>
        </w:numPr>
      </w:pPr>
      <w:r>
        <w:rPr>
          <w:rFonts w:hint="eastAsia"/>
        </w:rPr>
        <w:t xml:space="preserve">本体不是新的业务系统菜单，也不是把表名和功能名改造成类。</w:t>
      </w:r>
    </w:p>
    <w:bookmarkEnd w:id="17"/>
    <w:bookmarkStart w:id="18" w:name="X4a670d7302af0f950f459a36bda47b7436d703c"/>
    <w:p>
      <w:pPr>
        <w:pStyle w:val="Heading3"/>
        <w:keepNext/>
        <w:keepLines/>
        <w:spacing w:before="160" w:after="100"/>
      </w:pPr>
      <w:r>
        <w:t xml:space="preserve">3-8 </w:t>
      </w:r>
      <w:r>
        <w:rPr>
          <w:rFonts w:hint="eastAsia"/>
        </w:rPr>
        <w:t xml:space="preserve">分钟：数据汇聚与语义注册</w:t>
      </w:r>
    </w:p>
    <w:p>
      <w:pPr>
        <w:pStyle w:val="FirstParagraph"/>
      </w:pPr>
      <w:r>
        <w:rPr>
          <w:rFonts w:hint="eastAsia"/>
        </w:rPr>
        <w:t xml:space="preserve">在“本体应用”工作区中，找到</w:t>
      </w:r>
      <w:r>
        <w:t xml:space="preserve"> </w:t>
      </w:r>
      <w:r>
        <w:rPr>
          <w:rStyle w:val="VerbatimChar"/>
        </w:rPr>
        <w:t xml:space="preserve">Cognitive Runtime</w:t>
      </w:r>
      <w:r>
        <w:t xml:space="preserve"> </w:t>
      </w:r>
      <w:r>
        <w:rPr>
          <w:rFonts w:hint="eastAsia"/>
        </w:rPr>
        <w:t xml:space="preserve">执行链下方的四个内部页签，点击第三个“数据治理”。不要进入“平台运营”下的治理功能。</w:t>
      </w:r>
    </w:p>
    <w:p>
      <w:pPr>
        <w:pStyle w:val="BodyText"/>
      </w:pPr>
      <w:r>
        <w:rPr>
          <w:rFonts w:hint="eastAsia"/>
        </w:rPr>
        <w:t xml:space="preserve">讲解要点：</w:t>
      </w:r>
    </w:p>
    <w:p>
      <w:pPr>
        <w:pStyle w:val="Compact"/>
        <w:numPr>
          <w:ilvl w:val="0"/>
          <w:numId w:val="1005"/>
        </w:numPr>
      </w:pPr>
      <w:r>
        <w:rPr>
          <w:rFonts w:hint="eastAsia"/>
        </w:rPr>
        <w:t xml:space="preserve">本次真实汇聚</w:t>
      </w:r>
      <w:r>
        <w:t xml:space="preserve"> 10 </w:t>
      </w:r>
      <w:r>
        <w:rPr>
          <w:rFonts w:hint="eastAsia"/>
        </w:rPr>
        <w:t xml:space="preserve">个来源资产，包含</w:t>
      </w:r>
      <w:r>
        <w:t xml:space="preserve"> Shapefile </w:t>
      </w:r>
      <w:r>
        <w:rPr>
          <w:rFonts w:hint="eastAsia"/>
        </w:rPr>
        <w:t xml:space="preserve">和</w:t>
      </w:r>
      <w:r>
        <w:t xml:space="preserve"> Excel。</w:t>
      </w:r>
    </w:p>
    <w:p>
      <w:pPr>
        <w:pStyle w:val="Compact"/>
        <w:numPr>
          <w:ilvl w:val="0"/>
          <w:numId w:val="1005"/>
        </w:numPr>
      </w:pPr>
      <w:r>
        <w:rPr>
          <w:rFonts w:hint="eastAsia"/>
        </w:rPr>
        <w:t xml:space="preserve">和平村</w:t>
      </w:r>
      <w:r>
        <w:t xml:space="preserve"> 902 </w:t>
      </w:r>
      <w:r>
        <w:rPr>
          <w:rFonts w:hint="eastAsia"/>
        </w:rPr>
        <w:t xml:space="preserve">个规划地块、斑竹村</w:t>
      </w:r>
      <w:r>
        <w:t xml:space="preserve"> 1,555 </w:t>
      </w:r>
      <w:r>
        <w:rPr>
          <w:rFonts w:hint="eastAsia"/>
        </w:rPr>
        <w:t xml:space="preserve">个规划地块均保留源坐标系、源字段和文件哈希。</w:t>
      </w:r>
    </w:p>
    <w:p>
      <w:pPr>
        <w:pStyle w:val="Compact"/>
        <w:numPr>
          <w:ilvl w:val="0"/>
          <w:numId w:val="1005"/>
        </w:numPr>
      </w:pPr>
      <w:r>
        <w:rPr>
          <w:rStyle w:val="VerbatimChar"/>
        </w:rPr>
        <w:t xml:space="preserve">TDGHDL.JQDLMC</w:t>
      </w:r>
      <w:r>
        <w:t xml:space="preserve"> </w:t>
      </w:r>
      <w:r>
        <w:rPr>
          <w:rFonts w:hint="eastAsia"/>
        </w:rPr>
        <w:t xml:space="preserve">映射到转换的源状态，</w:t>
      </w:r>
      <w:r>
        <w:rPr>
          <w:rStyle w:val="VerbatimChar"/>
        </w:rPr>
        <w:t xml:space="preserve">TDGHDL.GHDLMC</w:t>
      </w:r>
      <w:r>
        <w:t xml:space="preserve"> </w:t>
      </w:r>
      <w:r>
        <w:rPr>
          <w:rFonts w:hint="eastAsia"/>
        </w:rPr>
        <w:t xml:space="preserve">映射到目标状态，</w:t>
      </w:r>
      <w:r>
        <w:rPr>
          <w:rStyle w:val="VerbatimChar"/>
        </w:rPr>
        <w:t xml:space="preserve">TDGHDL.BSM</w:t>
      </w:r>
      <w:r>
        <w:t xml:space="preserve"> </w:t>
      </w:r>
      <w:r>
        <w:rPr>
          <w:rFonts w:hint="eastAsia"/>
        </w:rPr>
        <w:t xml:space="preserve">映射到地块身份。</w:t>
      </w:r>
    </w:p>
    <w:p>
      <w:pPr>
        <w:pStyle w:val="Compact"/>
        <w:numPr>
          <w:ilvl w:val="0"/>
          <w:numId w:val="1005"/>
        </w:numPr>
      </w:pPr>
      <w:r>
        <w:rPr>
          <w:rFonts w:hint="eastAsia"/>
        </w:rPr>
        <w:t xml:space="preserve">强调这里不是简单修改字段名称，而是把来源字段放入“地块实体—源状态—转换过程—目标状态”的统一语义结构。</w:t>
      </w:r>
    </w:p>
    <w:p>
      <w:pPr>
        <w:pStyle w:val="Compact"/>
        <w:numPr>
          <w:ilvl w:val="0"/>
          <w:numId w:val="1005"/>
        </w:numPr>
      </w:pPr>
      <w:r>
        <w:t xml:space="preserve">21 </w:t>
      </w:r>
      <w:r>
        <w:rPr>
          <w:rFonts w:hint="eastAsia"/>
        </w:rPr>
        <w:t xml:space="preserve">类地类术语已映射，水库水面、河流水面、特殊用地</w:t>
      </w:r>
      <w:r>
        <w:t xml:space="preserve"> 3 </w:t>
      </w:r>
      <w:r>
        <w:rPr>
          <w:rFonts w:hint="eastAsia"/>
        </w:rPr>
        <w:t xml:space="preserve">类进入治理待办，没有静默猜测。</w:t>
      </w:r>
    </w:p>
    <w:p>
      <w:pPr>
        <w:pStyle w:val="Compact"/>
        <w:numPr>
          <w:ilvl w:val="0"/>
          <w:numId w:val="1005"/>
        </w:numPr>
      </w:pPr>
      <w:r>
        <w:rPr>
          <w:rFonts w:hint="eastAsia"/>
        </w:rPr>
        <w:t xml:space="preserve">和平村项目台账有</w:t>
      </w:r>
      <w:r>
        <w:t xml:space="preserve"> 16 </w:t>
      </w:r>
      <w:r>
        <w:rPr>
          <w:rFonts w:hint="eastAsia"/>
        </w:rPr>
        <w:t xml:space="preserve">项，但</w:t>
      </w:r>
      <w:r>
        <w:t xml:space="preserve"> </w:t>
      </w:r>
      <w:r>
        <w:rPr>
          <w:rStyle w:val="VerbatimChar"/>
        </w:rPr>
        <w:t xml:space="preserve">TDGHDL.XMMC</w:t>
      </w:r>
      <w:r>
        <w:t xml:space="preserve"> </w:t>
      </w:r>
      <w:r>
        <w:rPr>
          <w:rFonts w:hint="eastAsia"/>
        </w:rPr>
        <w:t xml:space="preserve">全为空，因此系统明确显示</w:t>
      </w:r>
      <w:r>
        <w:t xml:space="preserve"> 0/16 </w:t>
      </w:r>
      <w:r>
        <w:rPr>
          <w:rFonts w:hint="eastAsia"/>
        </w:rPr>
        <w:t xml:space="preserve">空间关联，而不是伪造项目位置。</w:t>
      </w:r>
    </w:p>
    <w:bookmarkEnd w:id="18"/>
    <w:bookmarkStart w:id="19" w:name="Xc012bf9110b6ee013ba3256bcfc29836b535a74"/>
    <w:p>
      <w:pPr>
        <w:pStyle w:val="Heading3"/>
        <w:keepNext/>
        <w:keepLines/>
        <w:spacing w:before="160" w:after="100"/>
      </w:pPr>
      <w:r>
        <w:t xml:space="preserve">8-16 </w:t>
      </w:r>
      <w:r>
        <w:rPr>
          <w:rFonts w:hint="eastAsia"/>
        </w:rPr>
        <w:t xml:space="preserve">分钟：和平村用地转换辅助预审</w:t>
      </w:r>
    </w:p>
    <w:p>
      <w:pPr>
        <w:pStyle w:val="FirstParagraph"/>
      </w:pPr>
      <w:r>
        <w:rPr>
          <w:rFonts w:hint="eastAsia"/>
        </w:rPr>
        <w:t xml:space="preserve">选择“用地转换辅助预审”，执行语义分析。</w:t>
      </w:r>
    </w:p>
    <w:p>
      <w:pPr>
        <w:pStyle w:val="BodyText"/>
      </w:pPr>
      <w:r>
        <w:rPr>
          <w:rFonts w:hint="eastAsia"/>
        </w:rPr>
        <w:t xml:space="preserve">讲解要点：</w:t>
      </w:r>
    </w:p>
    <w:p>
      <w:pPr>
        <w:pStyle w:val="Compact"/>
        <w:numPr>
          <w:ilvl w:val="0"/>
          <w:numId w:val="1006"/>
        </w:numPr>
      </w:pPr>
      <w:r>
        <w:t xml:space="preserve">902 </w:t>
      </w:r>
      <w:r>
        <w:rPr>
          <w:rFonts w:hint="eastAsia"/>
        </w:rPr>
        <w:t xml:space="preserve">个规划地块中，445</w:t>
      </w:r>
      <w:r>
        <w:t xml:space="preserve"> </w:t>
      </w:r>
      <w:r>
        <w:rPr>
          <w:rFonts w:hint="eastAsia"/>
        </w:rPr>
        <w:t xml:space="preserve">个地类发生变化，变化面积</w:t>
      </w:r>
      <w:r>
        <w:t xml:space="preserve"> 79.73 </w:t>
      </w:r>
      <w:r>
        <w:rPr>
          <w:rFonts w:hint="eastAsia"/>
        </w:rPr>
        <w:t xml:space="preserve">公顷。</w:t>
      </w:r>
    </w:p>
    <w:p>
      <w:pPr>
        <w:pStyle w:val="Compact"/>
        <w:numPr>
          <w:ilvl w:val="0"/>
          <w:numId w:val="1006"/>
        </w:numPr>
      </w:pPr>
      <w:r>
        <w:rPr>
          <w:rFonts w:hint="eastAsia"/>
        </w:rPr>
        <w:t xml:space="preserve">本体把变化表达为“地块实体</w:t>
      </w:r>
      <w:r>
        <w:t xml:space="preserve"> + </w:t>
      </w:r>
      <w:r>
        <w:rPr>
          <w:rFonts w:hint="eastAsia"/>
        </w:rPr>
        <w:t xml:space="preserve">源状态</w:t>
      </w:r>
      <w:r>
        <w:t xml:space="preserve"> + </w:t>
      </w:r>
      <w:r>
        <w:rPr>
          <w:rFonts w:hint="eastAsia"/>
        </w:rPr>
        <w:t xml:space="preserve">转换过程</w:t>
      </w:r>
      <w:r>
        <w:t xml:space="preserve"> + </w:t>
      </w:r>
      <w:r>
        <w:rPr>
          <w:rFonts w:hint="eastAsia"/>
        </w:rPr>
        <w:t xml:space="preserve">目标状态”，避免把土地永久固化为某一类别。</w:t>
      </w:r>
    </w:p>
    <w:p>
      <w:pPr>
        <w:pStyle w:val="Compact"/>
        <w:numPr>
          <w:ilvl w:val="0"/>
          <w:numId w:val="1006"/>
        </w:numPr>
      </w:pPr>
      <w:r>
        <w:rPr>
          <w:rFonts w:hint="eastAsia"/>
        </w:rPr>
        <w:t xml:space="preserve">以“旱地变为村居住用地”为例，说明系统先对齐为“耕地利用状态变为建设用地利用状态”，再识别为“建设占用”过程。</w:t>
      </w:r>
    </w:p>
    <w:p>
      <w:pPr>
        <w:pStyle w:val="Compact"/>
        <w:numPr>
          <w:ilvl w:val="0"/>
          <w:numId w:val="1006"/>
        </w:numPr>
      </w:pPr>
      <w:r>
        <w:rPr>
          <w:rFonts w:hint="eastAsia"/>
        </w:rPr>
        <w:t xml:space="preserve">实际识别出农业结构调整、建设占用、土地复垦、土地整治和一般土地利用转换。</w:t>
      </w:r>
    </w:p>
    <w:p>
      <w:pPr>
        <w:pStyle w:val="Compact"/>
        <w:numPr>
          <w:ilvl w:val="0"/>
          <w:numId w:val="1006"/>
        </w:numPr>
      </w:pPr>
      <w:r>
        <w:t xml:space="preserve">GIS </w:t>
      </w:r>
      <w:r>
        <w:rPr>
          <w:rFonts w:hint="eastAsia"/>
        </w:rPr>
        <w:t xml:space="preserve">引擎在源投影坐标系中执行真实叠加和面积计算。</w:t>
      </w:r>
    </w:p>
    <w:p>
      <w:pPr>
        <w:pStyle w:val="Compact"/>
        <w:numPr>
          <w:ilvl w:val="0"/>
          <w:numId w:val="1006"/>
        </w:numPr>
      </w:pPr>
      <w:r>
        <w:t xml:space="preserve">25 </w:t>
      </w:r>
      <w:r>
        <w:rPr>
          <w:rFonts w:hint="eastAsia"/>
        </w:rPr>
        <w:t xml:space="preserve">个变化地块命中禁止性或保护性空间约束。</w:t>
      </w:r>
    </w:p>
    <w:p>
      <w:pPr>
        <w:pStyle w:val="Compact"/>
        <w:numPr>
          <w:ilvl w:val="0"/>
          <w:numId w:val="1006"/>
        </w:numPr>
      </w:pPr>
      <w:r>
        <w:t xml:space="preserve">108 </w:t>
      </w:r>
      <w:r>
        <w:rPr>
          <w:rFonts w:hint="eastAsia"/>
        </w:rPr>
        <w:t xml:space="preserve">个地块涉及建设占用但未关联审批文件，空间上未发现冲突也不能显示为合规，只能标记“材料待补”。</w:t>
      </w:r>
    </w:p>
    <w:p>
      <w:pPr>
        <w:pStyle w:val="Compact"/>
        <w:numPr>
          <w:ilvl w:val="0"/>
          <w:numId w:val="1006"/>
        </w:numPr>
      </w:pPr>
      <w:r>
        <w:rPr>
          <w:rFonts w:hint="eastAsia"/>
        </w:rPr>
        <w:t xml:space="preserve">说明“材料待补”来自建设占用过程的证据要求，而不是地图颜色或大模型主观判断。</w:t>
      </w:r>
    </w:p>
    <w:p>
      <w:pPr>
        <w:pStyle w:val="Compact"/>
        <w:numPr>
          <w:ilvl w:val="0"/>
          <w:numId w:val="1006"/>
        </w:numPr>
      </w:pPr>
      <w:r>
        <w:t xml:space="preserve">312 </w:t>
      </w:r>
      <w:r>
        <w:rPr>
          <w:rFonts w:hint="eastAsia"/>
        </w:rPr>
        <w:t xml:space="preserve">个地块命中地灾或高郁闭度林地等条件约束，进入跨部门复核。</w:t>
      </w:r>
    </w:p>
    <w:p>
      <w:pPr>
        <w:pStyle w:val="FirstParagraph"/>
      </w:pPr>
      <w:r>
        <w:rPr>
          <w:rFonts w:hint="eastAsia"/>
        </w:rPr>
        <w:t xml:space="preserve">点击代表性地块右侧证据按钮。</w:t>
      </w:r>
    </w:p>
    <w:p>
      <w:pPr>
        <w:pStyle w:val="BodyText"/>
      </w:pPr>
      <w:r>
        <w:rPr>
          <w:rFonts w:hint="eastAsia"/>
        </w:rPr>
        <w:t xml:space="preserve">讲解要点：</w:t>
      </w:r>
    </w:p>
    <w:p>
      <w:pPr>
        <w:pStyle w:val="Compact"/>
        <w:numPr>
          <w:ilvl w:val="0"/>
          <w:numId w:val="1007"/>
        </w:numPr>
      </w:pPr>
      <w:r>
        <w:rPr>
          <w:rFonts w:hint="eastAsia"/>
        </w:rPr>
        <w:t xml:space="preserve">页面可追溯到</w:t>
      </w:r>
      <w:r>
        <w:t xml:space="preserve"> </w:t>
      </w:r>
      <w:r>
        <w:rPr>
          <w:rStyle w:val="VerbatimChar"/>
        </w:rPr>
        <w:t xml:space="preserve">LandParcel</w:t>
      </w:r>
      <w:r>
        <w:rPr>
          <w:rFonts w:hint="eastAsia"/>
        </w:rPr>
        <w:t xml:space="preserve">、源状态、转换过程、目标状态及</w:t>
      </w:r>
      <w:r>
        <w:t xml:space="preserve"> </w:t>
      </w:r>
      <w:r>
        <w:rPr>
          <w:rStyle w:val="VerbatimChar"/>
        </w:rPr>
        <w:t xml:space="preserve">constrainedBy</w:t>
      </w:r>
      <w:r>
        <w:t xml:space="preserve">、</w:t>
      </w:r>
      <w:r>
        <w:rPr>
          <w:rStyle w:val="VerbatimChar"/>
        </w:rPr>
        <w:t xml:space="preserve">authorizedBy</w:t>
      </w:r>
      <w:r>
        <w:t xml:space="preserve"> </w:t>
      </w:r>
      <w:r>
        <w:rPr>
          <w:rFonts w:hint="eastAsia"/>
        </w:rPr>
        <w:t xml:space="preserve">等关系。</w:t>
      </w:r>
    </w:p>
    <w:p>
      <w:pPr>
        <w:pStyle w:val="Compact"/>
        <w:numPr>
          <w:ilvl w:val="0"/>
          <w:numId w:val="1007"/>
        </w:numPr>
      </w:pPr>
      <w:r>
        <w:rPr>
          <w:rFonts w:hint="eastAsia"/>
        </w:rPr>
        <w:t xml:space="preserve">每个空间命中显示约束类型、名称和真实相交面积。</w:t>
      </w:r>
    </w:p>
    <w:p>
      <w:pPr>
        <w:pStyle w:val="Compact"/>
        <w:numPr>
          <w:ilvl w:val="0"/>
          <w:numId w:val="1007"/>
        </w:numPr>
      </w:pPr>
      <w:r>
        <w:rPr>
          <w:rFonts w:hint="eastAsia"/>
        </w:rPr>
        <w:t xml:space="preserve">每个判断绑定本体</w:t>
      </w:r>
      <w:r>
        <w:t xml:space="preserve"> </w:t>
      </w:r>
      <w:r>
        <w:rPr>
          <w:rFonts w:hint="eastAsia"/>
        </w:rPr>
        <w:t xml:space="preserve">V2.0.1、演示包版本和源资产</w:t>
      </w:r>
      <w:r>
        <w:t xml:space="preserve"> SHA-256。</w:t>
      </w:r>
    </w:p>
    <w:bookmarkEnd w:id="19"/>
    <w:bookmarkStart w:id="20" w:name="X1337432cc011f0558686beff8622f9cc91e1e4a"/>
    <w:p>
      <w:pPr>
        <w:pStyle w:val="Heading3"/>
        <w:keepNext/>
        <w:keepLines/>
        <w:spacing w:before="160" w:after="100"/>
      </w:pPr>
      <w:r>
        <w:t xml:space="preserve">16-21 </w:t>
      </w:r>
      <w:r>
        <w:rPr>
          <w:rFonts w:hint="eastAsia"/>
        </w:rPr>
        <w:t xml:space="preserve">分钟：斑竹村土地利用结构调整</w:t>
      </w:r>
    </w:p>
    <w:p>
      <w:pPr>
        <w:pStyle w:val="FirstParagraph"/>
      </w:pPr>
      <w:r>
        <w:rPr>
          <w:rFonts w:hint="eastAsia"/>
        </w:rPr>
        <w:t xml:space="preserve">切换“土地利用结构调整”，执行语义分析。</w:t>
      </w:r>
    </w:p>
    <w:p>
      <w:pPr>
        <w:pStyle w:val="BodyText"/>
      </w:pPr>
      <w:r>
        <w:rPr>
          <w:rFonts w:hint="eastAsia"/>
        </w:rPr>
        <w:t xml:space="preserve">讲解要点：</w:t>
      </w:r>
    </w:p>
    <w:p>
      <w:pPr>
        <w:pStyle w:val="Compact"/>
        <w:numPr>
          <w:ilvl w:val="0"/>
          <w:numId w:val="1008"/>
        </w:numPr>
      </w:pPr>
      <w:r>
        <w:t xml:space="preserve">1,555 </w:t>
      </w:r>
      <w:r>
        <w:rPr>
          <w:rFonts w:hint="eastAsia"/>
        </w:rPr>
        <w:t xml:space="preserve">个规划地块中，559</w:t>
      </w:r>
      <w:r>
        <w:t xml:space="preserve"> </w:t>
      </w:r>
      <w:r>
        <w:rPr>
          <w:rFonts w:hint="eastAsia"/>
        </w:rPr>
        <w:t xml:space="preserve">个发生变化，变化面积</w:t>
      </w:r>
      <w:r>
        <w:t xml:space="preserve"> 87.24 </w:t>
      </w:r>
      <w:r>
        <w:rPr>
          <w:rFonts w:hint="eastAsia"/>
        </w:rPr>
        <w:t xml:space="preserve">公顷。</w:t>
      </w:r>
    </w:p>
    <w:p>
      <w:pPr>
        <w:pStyle w:val="Compact"/>
        <w:numPr>
          <w:ilvl w:val="0"/>
          <w:numId w:val="1008"/>
        </w:numPr>
      </w:pPr>
      <w:r>
        <w:rPr>
          <w:rFonts w:hint="eastAsia"/>
        </w:rPr>
        <w:t xml:space="preserve">结构调整表显示农用地从</w:t>
      </w:r>
      <w:r>
        <w:t xml:space="preserve"> 625.63 </w:t>
      </w:r>
      <w:r>
        <w:rPr>
          <w:rFonts w:hint="eastAsia"/>
        </w:rPr>
        <w:t xml:space="preserve">公顷增至</w:t>
      </w:r>
      <w:r>
        <w:t xml:space="preserve"> 634.69 </w:t>
      </w:r>
      <w:r>
        <w:rPr>
          <w:rFonts w:hint="eastAsia"/>
        </w:rPr>
        <w:t xml:space="preserve">公顷，净增</w:t>
      </w:r>
      <w:r>
        <w:t xml:space="preserve"> 9.06 </w:t>
      </w:r>
      <w:r>
        <w:rPr>
          <w:rFonts w:hint="eastAsia"/>
        </w:rPr>
        <w:t xml:space="preserve">公顷。</w:t>
      </w:r>
    </w:p>
    <w:p>
      <w:pPr>
        <w:pStyle w:val="Compact"/>
        <w:numPr>
          <w:ilvl w:val="0"/>
          <w:numId w:val="1008"/>
        </w:numPr>
      </w:pPr>
      <w:r>
        <w:rPr>
          <w:rFonts w:hint="eastAsia"/>
        </w:rPr>
        <w:t xml:space="preserve">旱地增加</w:t>
      </w:r>
      <w:r>
        <w:t xml:space="preserve"> 16.21 </w:t>
      </w:r>
      <w:r>
        <w:rPr>
          <w:rFonts w:hint="eastAsia"/>
        </w:rPr>
        <w:t xml:space="preserve">公顷，园地增加</w:t>
      </w:r>
      <w:r>
        <w:t xml:space="preserve"> 1.73 </w:t>
      </w:r>
      <w:r>
        <w:rPr>
          <w:rFonts w:hint="eastAsia"/>
        </w:rPr>
        <w:t xml:space="preserve">公顷。</w:t>
      </w:r>
    </w:p>
    <w:p>
      <w:pPr>
        <w:pStyle w:val="Compact"/>
        <w:numPr>
          <w:ilvl w:val="0"/>
          <w:numId w:val="1008"/>
        </w:numPr>
      </w:pPr>
      <w:r>
        <w:rPr>
          <w:rFonts w:hint="eastAsia"/>
        </w:rPr>
        <w:t xml:space="preserve">林地减少</w:t>
      </w:r>
      <w:r>
        <w:t xml:space="preserve"> 3.31 </w:t>
      </w:r>
      <w:r>
        <w:rPr>
          <w:rFonts w:hint="eastAsia"/>
        </w:rPr>
        <w:t xml:space="preserve">公顷，坑塘水面减少</w:t>
      </w:r>
      <w:r>
        <w:t xml:space="preserve"> 4.20 </w:t>
      </w:r>
      <w:r>
        <w:rPr>
          <w:rFonts w:hint="eastAsia"/>
        </w:rPr>
        <w:t xml:space="preserve">公顷。</w:t>
      </w:r>
    </w:p>
    <w:p>
      <w:pPr>
        <w:pStyle w:val="Compact"/>
        <w:numPr>
          <w:ilvl w:val="0"/>
          <w:numId w:val="1008"/>
        </w:numPr>
      </w:pPr>
      <w:r>
        <w:rPr>
          <w:rFonts w:hint="eastAsia"/>
        </w:rPr>
        <w:t xml:space="preserve">宅基地（村居住用地）减少</w:t>
      </w:r>
      <w:r>
        <w:t xml:space="preserve"> 12.20 </w:t>
      </w:r>
      <w:r>
        <w:rPr>
          <w:rFonts w:hint="eastAsia"/>
        </w:rPr>
        <w:t xml:space="preserve">公顷。</w:t>
      </w:r>
    </w:p>
    <w:p>
      <w:pPr>
        <w:pStyle w:val="Compact"/>
        <w:numPr>
          <w:ilvl w:val="0"/>
          <w:numId w:val="1008"/>
        </w:numPr>
      </w:pPr>
      <w:r>
        <w:rPr>
          <w:rFonts w:hint="eastAsia"/>
        </w:rPr>
        <w:t xml:space="preserve">统计变化通过本体状态与</w:t>
      </w:r>
      <w:r>
        <w:t xml:space="preserve"> 559 </w:t>
      </w:r>
      <w:r>
        <w:rPr>
          <w:rFonts w:hint="eastAsia"/>
        </w:rPr>
        <w:t xml:space="preserve">个规划变化图斑关联，既能看总量，也能回到空间对象。</w:t>
      </w:r>
    </w:p>
    <w:p>
      <w:pPr>
        <w:pStyle w:val="Compact"/>
        <w:numPr>
          <w:ilvl w:val="0"/>
          <w:numId w:val="1008"/>
        </w:numPr>
      </w:pPr>
      <w:r>
        <w:rPr>
          <w:rFonts w:hint="eastAsia"/>
        </w:rPr>
        <w:t xml:space="preserve">强调本体提供跨统计表与空间图斑共享的状态语义，使总量指标能够回到具体对象和转换过程。</w:t>
      </w:r>
    </w:p>
    <w:bookmarkEnd w:id="20"/>
    <w:bookmarkStart w:id="21" w:name="X944481a4bd5c44892dbc5455f9631b5aed02f3d"/>
    <w:p>
      <w:pPr>
        <w:pStyle w:val="Heading3"/>
        <w:keepNext/>
        <w:keepLines/>
        <w:spacing w:before="160" w:after="100"/>
      </w:pPr>
      <w:r>
        <w:t xml:space="preserve">21-25 </w:t>
      </w:r>
      <w:r>
        <w:rPr>
          <w:rFonts w:hint="eastAsia"/>
        </w:rPr>
        <w:t xml:space="preserve">分钟：质量、证据和版本治理</w:t>
      </w:r>
    </w:p>
    <w:p>
      <w:pPr>
        <w:pStyle w:val="FirstParagraph"/>
      </w:pPr>
      <w:r>
        <w:rPr>
          <w:rFonts w:hint="eastAsia"/>
        </w:rPr>
        <w:t xml:space="preserve">回到“本体应用”工作区，点击</w:t>
      </w:r>
      <w:r>
        <w:t xml:space="preserve"> </w:t>
      </w:r>
      <w:r>
        <w:rPr>
          <w:rStyle w:val="VerbatimChar"/>
        </w:rPr>
        <w:t xml:space="preserve">Cognitive Runtime</w:t>
      </w:r>
      <w:r>
        <w:t xml:space="preserve"> </w:t>
      </w:r>
      <w:r>
        <w:rPr>
          <w:rFonts w:hint="eastAsia"/>
        </w:rPr>
        <w:t xml:space="preserve">执行链下方第三个内部页签“数据治理”。</w:t>
      </w:r>
    </w:p>
    <w:p>
      <w:pPr>
        <w:pStyle w:val="BodyText"/>
      </w:pPr>
      <w:r>
        <w:rPr>
          <w:rFonts w:hint="eastAsia"/>
        </w:rPr>
        <w:t xml:space="preserve">讲解要点：</w:t>
      </w:r>
    </w:p>
    <w:p>
      <w:pPr>
        <w:pStyle w:val="Compact"/>
        <w:numPr>
          <w:ilvl w:val="0"/>
          <w:numId w:val="1009"/>
        </w:numPr>
      </w:pPr>
      <w:r>
        <w:rPr>
          <w:rFonts w:hint="eastAsia"/>
        </w:rPr>
        <w:t xml:space="preserve">系统检查</w:t>
      </w:r>
      <w:r>
        <w:t xml:space="preserve"> </w:t>
      </w:r>
      <w:r>
        <w:rPr>
          <w:rFonts w:hint="eastAsia"/>
        </w:rPr>
        <w:t xml:space="preserve">CRS、几何、地块标识、规划前后状态、语义映射、项目关联和审批证据。</w:t>
      </w:r>
    </w:p>
    <w:p>
      <w:pPr>
        <w:pStyle w:val="Compact"/>
        <w:numPr>
          <w:ilvl w:val="0"/>
          <w:numId w:val="1009"/>
        </w:numPr>
      </w:pPr>
      <w:r>
        <w:rPr>
          <w:rFonts w:hint="eastAsia"/>
        </w:rPr>
        <w:t xml:space="preserve">本体包、演示数据包、源文件分别版本化；本体哈希不匹配或数据文件被改写时，运行时拒绝加载。</w:t>
      </w:r>
    </w:p>
    <w:p>
      <w:pPr>
        <w:pStyle w:val="Compact"/>
        <w:numPr>
          <w:ilvl w:val="0"/>
          <w:numId w:val="1009"/>
        </w:numPr>
      </w:pPr>
      <w:r>
        <w:rPr>
          <w:rFonts w:hint="eastAsia"/>
        </w:rPr>
        <w:t xml:space="preserve">质量警告形成治理任务，而不是被智能体隐藏。</w:t>
      </w:r>
    </w:p>
    <w:bookmarkEnd w:id="21"/>
    <w:bookmarkStart w:id="22" w:name="Xb95b7587dbc73a94c3dab7749d58633f0acd486"/>
    <w:p>
      <w:pPr>
        <w:pStyle w:val="Heading3"/>
        <w:keepNext/>
        <w:keepLines/>
        <w:spacing w:before="160" w:after="100"/>
      </w:pPr>
      <w:r>
        <w:t xml:space="preserve">25-28 </w:t>
      </w:r>
      <w:r>
        <w:rPr>
          <w:rFonts w:hint="eastAsia"/>
        </w:rPr>
        <w:t xml:space="preserve">分钟：总体架构与跨部门扩展</w:t>
      </w:r>
    </w:p>
    <w:p>
      <w:pPr>
        <w:pStyle w:val="FirstParagraph"/>
      </w:pPr>
      <w:r>
        <w:rPr>
          <w:rFonts w:hint="eastAsia"/>
        </w:rPr>
        <w:t xml:space="preserve">在同一位置点击第四个内部页签“能力闭环”。</w:t>
      </w:r>
    </w:p>
    <w:p>
      <w:pPr>
        <w:pStyle w:val="BodyText"/>
      </w:pPr>
      <w:r>
        <w:rPr>
          <w:rFonts w:hint="eastAsia"/>
        </w:rPr>
        <w:t xml:space="preserve">讲解要点：</w:t>
      </w:r>
    </w:p>
    <w:p>
      <w:pPr>
        <w:pStyle w:val="Compact"/>
        <w:numPr>
          <w:ilvl w:val="0"/>
          <w:numId w:val="1010"/>
        </w:numPr>
      </w:pPr>
      <w:r>
        <w:rPr>
          <w:rFonts w:hint="eastAsia"/>
        </w:rPr>
        <w:t xml:space="preserve">数据层承载基础地理、规划地类、管控边界和项目台账。</w:t>
      </w:r>
    </w:p>
    <w:p>
      <w:pPr>
        <w:pStyle w:val="Compact"/>
        <w:numPr>
          <w:ilvl w:val="0"/>
          <w:numId w:val="1010"/>
        </w:numPr>
      </w:pPr>
      <w:r>
        <w:rPr>
          <w:rFonts w:hint="eastAsia"/>
        </w:rPr>
        <w:t xml:space="preserve">语义层以本体为内核，定义跨数据源共享的实体、状态、过程、规则、角色和证据语义。</w:t>
      </w:r>
    </w:p>
    <w:p>
      <w:pPr>
        <w:pStyle w:val="Compact"/>
        <w:numPr>
          <w:ilvl w:val="0"/>
          <w:numId w:val="1010"/>
        </w:numPr>
      </w:pPr>
      <w:r>
        <w:t xml:space="preserve">MMFE </w:t>
      </w:r>
      <w:r>
        <w:rPr>
          <w:rFonts w:hint="eastAsia"/>
        </w:rPr>
        <w:t xml:space="preserve">执行实际语义融合，本体为其提供目标语义和约束。</w:t>
      </w:r>
    </w:p>
    <w:p>
      <w:pPr>
        <w:pStyle w:val="Compact"/>
        <w:numPr>
          <w:ilvl w:val="0"/>
          <w:numId w:val="1010"/>
        </w:numPr>
      </w:pPr>
      <w:r>
        <w:t xml:space="preserve">GIS </w:t>
      </w:r>
      <w:r>
        <w:rPr>
          <w:rFonts w:hint="eastAsia"/>
        </w:rPr>
        <w:t xml:space="preserve">引擎负责坐标转换、空间叠加和面积计算。</w:t>
      </w:r>
    </w:p>
    <w:p>
      <w:pPr>
        <w:pStyle w:val="Compact"/>
        <w:numPr>
          <w:ilvl w:val="0"/>
          <w:numId w:val="1010"/>
        </w:numPr>
      </w:pPr>
      <w:r>
        <w:t xml:space="preserve">Agent </w:t>
      </w:r>
      <w:r>
        <w:rPr>
          <w:rFonts w:hint="eastAsia"/>
        </w:rPr>
        <w:t xml:space="preserve">负责问题理解、任务规划、工具调用和证据解释。</w:t>
      </w:r>
    </w:p>
    <w:p>
      <w:pPr>
        <w:pStyle w:val="Compact"/>
        <w:numPr>
          <w:ilvl w:val="0"/>
          <w:numId w:val="1010"/>
        </w:numPr>
      </w:pPr>
      <w:r>
        <w:rPr>
          <w:rFonts w:hint="eastAsia"/>
        </w:rPr>
        <w:t xml:space="preserve">应用层可面向规划审查、自然资源业务协同及跨行业场景复用同一语义底座。</w:t>
      </w:r>
    </w:p>
    <w:bookmarkEnd w:id="22"/>
    <w:bookmarkStart w:id="23" w:name="X7e30a1a7a800180e5d45837e4c66118b21468c1"/>
    <w:p>
      <w:pPr>
        <w:pStyle w:val="Heading3"/>
        <w:keepNext/>
        <w:keepLines/>
        <w:spacing w:before="160" w:after="100"/>
      </w:pPr>
      <w:r>
        <w:t xml:space="preserve">28-30 </w:t>
      </w:r>
      <w:r>
        <w:rPr>
          <w:rFonts w:hint="eastAsia"/>
        </w:rPr>
        <w:t xml:space="preserve">分钟：总结</w:t>
      </w:r>
    </w:p>
    <w:p>
      <w:pPr>
        <w:pStyle w:val="FirstParagraph"/>
      </w:pPr>
      <w:r>
        <w:rPr>
          <w:rFonts w:hint="eastAsia"/>
        </w:rPr>
        <w:t xml:space="preserve">建议收束表述：</w:t>
      </w:r>
    </w:p>
    <w:p>
      <w:pPr>
        <w:pStyle w:val="BlockText"/>
      </w:pPr>
      <w:r>
        <w:rPr>
          <w:rFonts w:hint="eastAsia"/>
        </w:rPr>
        <w:t xml:space="preserve">本体建设的价值不是增加一个图谱页面，而是让基础地理数据从“可看、可查”升级为“可理解、可计算、可解释、可协同”的时空数据底座。它让智能体有稳定的领域知识结构，让跨部门数据有可对齐的语义目标，也让每个分析结论能够回到规则、数据和版本证据。</w:t>
      </w:r>
    </w:p>
    <w:bookmarkEnd w:id="23"/>
    <w:bookmarkEnd w:id="24"/>
    <w:bookmarkStart w:id="25" w:name="四十项能力对应关系"/>
    <w:p>
      <w:pPr>
        <w:pStyle w:val="Heading2"/>
        <w:keepNext/>
        <w:keepLines/>
        <w:spacing w:before="200" w:after="120"/>
      </w:pPr>
      <w:r>
        <w:rPr>
          <w:rFonts w:hint="eastAsia"/>
        </w:rPr>
        <w:t xml:space="preserve">四、十项能力对应关系</w:t>
      </w:r>
    </w:p>
    <w:tbl>
      <w:tblPr>
        <w:tblStyle w:val="Table"/>
        <w:tblW w:type="auto" w:w="0"/>
        <w:tblLayout w:type="fixed"/>
        <w:tblLook w:firstRow="1" w:lastRow="0" w:firstColumn="0" w:lastColumn="0" w:noHBand="0" w:noVBand="0" w:val="0020"/>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3960"/>
        <w:gridCol w:w="3960"/>
      </w:tblGrid>
      <w:tr>
        <w:trPr>
          <w:tblHeader w:val="on"/>
        </w:trPr>
        <w:tc>
          <w:tcPr>
            <w:tcW w:type="dxa" w:w="2268"/>
            <w:vAlign w:val="center"/>
            <w:shd w:fill="1F4E78"/>
          </w:tcPr>
          <w:p>
            <w:pPr>
              <w:pStyle w:val="Compact"/>
              <w:spacing w:before="0" w:after="40" w:line="240" w:lineRule="auto"/>
            </w:pPr>
            <w:r>
              <w:rPr>
                <w:rFonts w:hint="eastAsia"/>
                <w:b/>
                <w:color w:val="FFFFFF"/>
                <w:sz w:val="18"/>
              </w:rPr>
              <w:t xml:space="preserve">数据中心能力</w:t>
            </w:r>
          </w:p>
        </w:tc>
        <w:tc>
          <w:tcPr>
            <w:tcW w:type="dxa" w:w="6576"/>
            <w:vAlign w:val="center"/>
            <w:shd w:fill="1F4E78"/>
          </w:tcPr>
          <w:p>
            <w:pPr>
              <w:pStyle w:val="Compact"/>
              <w:spacing w:before="0" w:after="40" w:line="240" w:lineRule="auto"/>
            </w:pPr>
            <w:r>
              <w:rPr>
                <w:rFonts w:hint="eastAsia"/>
                <w:b/>
                <w:color w:val="FFFFFF"/>
                <w:sz w:val="18"/>
              </w:rPr>
              <w:t xml:space="preserve">本场景中的落点</w:t>
            </w:r>
          </w:p>
        </w:tc>
      </w:tr>
      <w:tr>
        <w:trPr/>
        <w:tc>
          <w:tcPr>
            <w:tcW w:type="dxa" w:w="2268"/>
            <w:vAlign w:val="center"/>
          </w:tcPr>
          <w:p>
            <w:pPr>
              <w:pStyle w:val="Compact"/>
              <w:spacing w:before="0" w:after="40" w:line="240" w:lineRule="auto"/>
            </w:pPr>
            <w:r>
              <w:rPr>
                <w:rFonts w:hint="eastAsia"/>
                <w:sz w:val="18"/>
              </w:rPr>
              <w:t xml:space="preserve">数据汇聚</w:t>
            </w:r>
          </w:p>
        </w:tc>
        <w:tc>
          <w:tcPr>
            <w:tcW w:type="dxa" w:w="6576"/>
            <w:vAlign w:val="center"/>
          </w:tcPr>
          <w:p>
            <w:pPr>
              <w:pStyle w:val="Compact"/>
              <w:spacing w:before="0" w:after="40" w:line="240" w:lineRule="auto"/>
            </w:pPr>
            <w:r>
              <w:rPr>
                <w:sz w:val="18"/>
              </w:rPr>
              <w:t xml:space="preserve">Shapefile、Excel </w:t>
            </w:r>
            <w:r>
              <w:rPr>
                <w:rFonts w:hint="eastAsia"/>
                <w:sz w:val="18"/>
              </w:rPr>
              <w:t xml:space="preserve">多源资产统一注册</w:t>
            </w:r>
          </w:p>
        </w:tc>
      </w:tr>
      <w:tr>
        <w:trPr/>
        <w:tc>
          <w:tcPr>
            <w:tcW w:type="dxa" w:w="2268"/>
            <w:vAlign w:val="center"/>
            <w:shd w:fill="EAF2F8"/>
          </w:tcPr>
          <w:p>
            <w:pPr>
              <w:pStyle w:val="Compact"/>
              <w:spacing w:before="0" w:after="40" w:line="240" w:lineRule="auto"/>
            </w:pPr>
            <w:r>
              <w:rPr>
                <w:rFonts w:hint="eastAsia"/>
                <w:sz w:val="18"/>
              </w:rPr>
              <w:t xml:space="preserve">数据治理</w:t>
            </w:r>
          </w:p>
        </w:tc>
        <w:tc>
          <w:tcPr>
            <w:tcW w:type="dxa" w:w="6576"/>
            <w:vAlign w:val="center"/>
            <w:shd w:fill="EAF2F8"/>
          </w:tcPr>
          <w:p>
            <w:pPr>
              <w:pStyle w:val="Compact"/>
              <w:spacing w:before="0" w:after="40" w:line="240" w:lineRule="auto"/>
            </w:pPr>
            <w:r>
              <w:rPr>
                <w:rFonts w:hint="eastAsia"/>
                <w:sz w:val="18"/>
              </w:rPr>
              <w:t xml:space="preserve">术语映射及项目空间关联缺口显式管理</w:t>
            </w:r>
          </w:p>
        </w:tc>
      </w:tr>
      <w:tr>
        <w:trPr/>
        <w:tc>
          <w:tcPr>
            <w:tcW w:type="dxa" w:w="2268"/>
            <w:vAlign w:val="center"/>
          </w:tcPr>
          <w:p>
            <w:pPr>
              <w:pStyle w:val="Compact"/>
              <w:spacing w:before="0" w:after="40" w:line="240" w:lineRule="auto"/>
            </w:pPr>
            <w:r>
              <w:rPr>
                <w:rFonts w:hint="eastAsia"/>
                <w:sz w:val="18"/>
              </w:rPr>
              <w:t xml:space="preserve">数据质检</w:t>
            </w:r>
          </w:p>
        </w:tc>
        <w:tc>
          <w:tcPr>
            <w:tcW w:type="dxa" w:w="6576"/>
            <w:vAlign w:val="center"/>
          </w:tcPr>
          <w:p>
            <w:pPr>
              <w:pStyle w:val="Compact"/>
              <w:spacing w:before="0" w:after="40" w:line="240" w:lineRule="auto"/>
            </w:pPr>
            <w:r>
              <w:rPr>
                <w:rFonts w:hint="eastAsia"/>
                <w:sz w:val="18"/>
              </w:rPr>
              <w:t xml:space="preserve">CRS、几何、标识、状态、映射和证据规则校验</w:t>
            </w:r>
          </w:p>
        </w:tc>
      </w:tr>
      <w:tr>
        <w:trPr/>
        <w:tc>
          <w:tcPr>
            <w:tcW w:type="dxa" w:w="2268"/>
            <w:vAlign w:val="center"/>
            <w:shd w:fill="EAF2F8"/>
          </w:tcPr>
          <w:p>
            <w:pPr>
              <w:pStyle w:val="Compact"/>
              <w:spacing w:before="0" w:after="40" w:line="240" w:lineRule="auto"/>
            </w:pPr>
            <w:r>
              <w:rPr>
                <w:rFonts w:hint="eastAsia"/>
                <w:sz w:val="18"/>
              </w:rPr>
              <w:t xml:space="preserve">数据展示</w:t>
            </w:r>
          </w:p>
        </w:tc>
        <w:tc>
          <w:tcPr>
            <w:tcW w:type="dxa" w:w="6576"/>
            <w:vAlign w:val="center"/>
            <w:shd w:fill="EAF2F8"/>
          </w:tcPr>
          <w:p>
            <w:pPr>
              <w:pStyle w:val="Compact"/>
              <w:spacing w:before="0" w:after="40" w:line="240" w:lineRule="auto"/>
            </w:pPr>
            <w:r>
              <w:rPr>
                <w:rFonts w:hint="eastAsia"/>
                <w:sz w:val="18"/>
              </w:rPr>
              <w:t xml:space="preserve">规划地块、转换过程和管控边界联动地图</w:t>
            </w:r>
          </w:p>
        </w:tc>
      </w:tr>
      <w:tr>
        <w:trPr/>
        <w:tc>
          <w:tcPr>
            <w:tcW w:type="dxa" w:w="2268"/>
            <w:vAlign w:val="center"/>
          </w:tcPr>
          <w:p>
            <w:pPr>
              <w:pStyle w:val="Compact"/>
              <w:spacing w:before="0" w:after="40" w:line="240" w:lineRule="auto"/>
            </w:pPr>
            <w:r>
              <w:rPr>
                <w:rFonts w:hint="eastAsia"/>
                <w:sz w:val="18"/>
              </w:rPr>
              <w:t xml:space="preserve">数据分析</w:t>
            </w:r>
          </w:p>
        </w:tc>
        <w:tc>
          <w:tcPr>
            <w:tcW w:type="dxa" w:w="6576"/>
            <w:vAlign w:val="center"/>
          </w:tcPr>
          <w:p>
            <w:pPr>
              <w:pStyle w:val="Compact"/>
              <w:spacing w:before="0" w:after="40" w:line="240" w:lineRule="auto"/>
            </w:pPr>
            <w:r>
              <w:rPr>
                <w:rFonts w:hint="eastAsia"/>
                <w:sz w:val="18"/>
              </w:rPr>
              <w:t xml:space="preserve">规划前后状态转换和空间叠加</w:t>
            </w:r>
          </w:p>
        </w:tc>
      </w:tr>
      <w:tr>
        <w:trPr/>
        <w:tc>
          <w:tcPr>
            <w:tcW w:type="dxa" w:w="2268"/>
            <w:vAlign w:val="center"/>
            <w:shd w:fill="EAF2F8"/>
          </w:tcPr>
          <w:p>
            <w:pPr>
              <w:pStyle w:val="Compact"/>
              <w:spacing w:before="0" w:after="40" w:line="240" w:lineRule="auto"/>
            </w:pPr>
            <w:r>
              <w:rPr>
                <w:rFonts w:hint="eastAsia"/>
                <w:sz w:val="18"/>
              </w:rPr>
              <w:t xml:space="preserve">数据分发</w:t>
            </w:r>
          </w:p>
        </w:tc>
        <w:tc>
          <w:tcPr>
            <w:tcW w:type="dxa" w:w="6576"/>
            <w:vAlign w:val="center"/>
            <w:shd w:fill="EAF2F8"/>
          </w:tcPr>
          <w:p>
            <w:pPr>
              <w:pStyle w:val="Compact"/>
              <w:spacing w:before="0" w:after="40" w:line="240" w:lineRule="auto"/>
            </w:pPr>
            <w:r>
              <w:rPr>
                <w:rFonts w:hint="eastAsia"/>
                <w:sz w:val="18"/>
              </w:rPr>
              <w:t xml:space="preserve">认证只读</w:t>
            </w:r>
            <w:r>
              <w:rPr>
                <w:sz w:val="18"/>
              </w:rPr>
              <w:t xml:space="preserve"> GeoJSON </w:t>
            </w:r>
            <w:r>
              <w:rPr>
                <w:rFonts w:hint="eastAsia"/>
                <w:sz w:val="18"/>
              </w:rPr>
              <w:t xml:space="preserve">和版本化证据包</w:t>
            </w:r>
          </w:p>
        </w:tc>
      </w:tr>
      <w:tr>
        <w:trPr/>
        <w:tc>
          <w:tcPr>
            <w:tcW w:type="dxa" w:w="2268"/>
            <w:vAlign w:val="center"/>
          </w:tcPr>
          <w:p>
            <w:pPr>
              <w:pStyle w:val="Compact"/>
              <w:spacing w:before="0" w:after="40" w:line="240" w:lineRule="auto"/>
            </w:pPr>
            <w:r>
              <w:rPr>
                <w:rFonts w:hint="eastAsia"/>
                <w:sz w:val="18"/>
              </w:rPr>
              <w:t xml:space="preserve">数据安全</w:t>
            </w:r>
          </w:p>
        </w:tc>
        <w:tc>
          <w:tcPr>
            <w:tcW w:type="dxa" w:w="6576"/>
            <w:vAlign w:val="center"/>
          </w:tcPr>
          <w:p>
            <w:pPr>
              <w:pStyle w:val="Compact"/>
              <w:spacing w:before="0" w:after="40" w:line="240" w:lineRule="auto"/>
            </w:pPr>
            <w:r>
              <w:rPr>
                <w:rFonts w:hint="eastAsia"/>
                <w:sz w:val="18"/>
              </w:rPr>
              <w:t xml:space="preserve">认证</w:t>
            </w:r>
            <w:r>
              <w:rPr>
                <w:sz w:val="18"/>
              </w:rPr>
              <w:t xml:space="preserve"> </w:t>
            </w:r>
            <w:r>
              <w:rPr>
                <w:rFonts w:hint="eastAsia"/>
                <w:sz w:val="18"/>
              </w:rPr>
              <w:t xml:space="preserve">API、来源追踪和用途范围声明</w:t>
            </w:r>
          </w:p>
        </w:tc>
      </w:tr>
      <w:tr>
        <w:trPr/>
        <w:tc>
          <w:tcPr>
            <w:tcW w:type="dxa" w:w="2268"/>
            <w:vAlign w:val="center"/>
            <w:shd w:fill="EAF2F8"/>
          </w:tcPr>
          <w:p>
            <w:pPr>
              <w:pStyle w:val="Compact"/>
              <w:spacing w:before="0" w:after="40" w:line="240" w:lineRule="auto"/>
            </w:pPr>
            <w:r>
              <w:rPr>
                <w:rFonts w:hint="eastAsia"/>
                <w:sz w:val="18"/>
              </w:rPr>
              <w:t xml:space="preserve">全流程管理</w:t>
            </w:r>
          </w:p>
        </w:tc>
        <w:tc>
          <w:tcPr>
            <w:tcW w:type="dxa" w:w="6576"/>
            <w:vAlign w:val="center"/>
            <w:shd w:fill="EAF2F8"/>
          </w:tcPr>
          <w:p>
            <w:pPr>
              <w:pStyle w:val="Compact"/>
              <w:spacing w:before="0" w:after="40" w:line="240" w:lineRule="auto"/>
            </w:pPr>
            <w:r>
              <w:rPr>
                <w:rFonts w:hint="eastAsia"/>
                <w:sz w:val="18"/>
              </w:rPr>
              <w:t xml:space="preserve">问题解析到证据解释的六步执行链</w:t>
            </w:r>
          </w:p>
        </w:tc>
      </w:tr>
      <w:tr>
        <w:trPr/>
        <w:tc>
          <w:tcPr>
            <w:tcW w:type="dxa" w:w="2268"/>
            <w:vAlign w:val="center"/>
          </w:tcPr>
          <w:p>
            <w:pPr>
              <w:pStyle w:val="Compact"/>
              <w:spacing w:before="0" w:after="40" w:line="240" w:lineRule="auto"/>
            </w:pPr>
            <w:r>
              <w:rPr>
                <w:rFonts w:hint="eastAsia"/>
                <w:sz w:val="18"/>
              </w:rPr>
              <w:t xml:space="preserve">数据反馈</w:t>
            </w:r>
          </w:p>
        </w:tc>
        <w:tc>
          <w:tcPr>
            <w:tcW w:type="dxa" w:w="6576"/>
            <w:vAlign w:val="center"/>
          </w:tcPr>
          <w:p>
            <w:pPr>
              <w:pStyle w:val="Compact"/>
              <w:spacing w:before="0" w:after="40" w:line="240" w:lineRule="auto"/>
            </w:pPr>
            <w:r>
              <w:rPr>
                <w:rFonts w:hint="eastAsia"/>
                <w:sz w:val="18"/>
              </w:rPr>
              <w:t xml:space="preserve">未映射术语、未关联项目和缺失材料形成治理待办</w:t>
            </w:r>
          </w:p>
        </w:tc>
      </w:tr>
      <w:tr>
        <w:trPr/>
        <w:tc>
          <w:tcPr>
            <w:tcW w:type="dxa" w:w="2268"/>
            <w:vAlign w:val="center"/>
            <w:shd w:fill="EAF2F8"/>
          </w:tcPr>
          <w:p>
            <w:pPr>
              <w:pStyle w:val="Compact"/>
              <w:spacing w:before="0" w:after="40" w:line="240" w:lineRule="auto"/>
            </w:pPr>
            <w:r>
              <w:rPr>
                <w:rFonts w:hint="eastAsia"/>
                <w:sz w:val="18"/>
              </w:rPr>
              <w:t xml:space="preserve">更新维护</w:t>
            </w:r>
          </w:p>
        </w:tc>
        <w:tc>
          <w:tcPr>
            <w:tcW w:type="dxa" w:w="6576"/>
            <w:vAlign w:val="center"/>
            <w:shd w:fill="EAF2F8"/>
          </w:tcPr>
          <w:p>
            <w:pPr>
              <w:pStyle w:val="Compact"/>
              <w:spacing w:before="0" w:after="40" w:line="240" w:lineRule="auto"/>
            </w:pPr>
            <w:r>
              <w:rPr>
                <w:rFonts w:hint="eastAsia"/>
                <w:sz w:val="18"/>
              </w:rPr>
              <w:t xml:space="preserve">本体、演示包和源文件哈希独立版本化</w:t>
            </w:r>
          </w:p>
        </w:tc>
      </w:tr>
    </w:tbl>
    <w:bookmarkEnd w:id="25"/>
    <w:bookmarkStart w:id="26" w:name="五演示注意事项"/>
    <w:p>
      <w:pPr>
        <w:pStyle w:val="Heading2"/>
        <w:keepNext/>
        <w:keepLines/>
        <w:spacing w:before="200" w:after="120"/>
      </w:pPr>
      <w:r>
        <w:rPr>
          <w:rFonts w:hint="eastAsia"/>
        </w:rPr>
        <w:t xml:space="preserve">五、演示注意事项</w:t>
      </w:r>
    </w:p>
    <w:p>
      <w:pPr>
        <w:pStyle w:val="Compact"/>
        <w:numPr>
          <w:ilvl w:val="0"/>
          <w:numId w:val="1011"/>
        </w:numPr>
      </w:pPr>
      <w:r>
        <w:rPr>
          <w:rFonts w:hint="eastAsia"/>
        </w:rPr>
        <w:t xml:space="preserve">不表述“系统已经完成法定合规审查”，统一使用“辅助预审”“空间初筛”“条件复核”。</w:t>
      </w:r>
    </w:p>
    <w:p>
      <w:pPr>
        <w:pStyle w:val="Compact"/>
        <w:numPr>
          <w:ilvl w:val="0"/>
          <w:numId w:val="1011"/>
        </w:numPr>
      </w:pPr>
      <w:r>
        <w:rPr>
          <w:rFonts w:hint="eastAsia"/>
        </w:rPr>
        <w:t xml:space="preserve">不宣称重点项目已经定位到具体图斑；当前源数据缺少可靠项目空间关联。</w:t>
      </w:r>
    </w:p>
    <w:p>
      <w:pPr>
        <w:pStyle w:val="Compact"/>
        <w:numPr>
          <w:ilvl w:val="0"/>
          <w:numId w:val="1011"/>
        </w:numPr>
      </w:pPr>
      <w:r>
        <w:rPr>
          <w:rFonts w:hint="eastAsia"/>
        </w:rPr>
        <w:t xml:space="preserve">不把本体描述成空间计算引擎；叠加和面积由</w:t>
      </w:r>
      <w:r>
        <w:t xml:space="preserve"> GIS </w:t>
      </w:r>
      <w:r>
        <w:rPr>
          <w:rFonts w:hint="eastAsia"/>
        </w:rPr>
        <w:t xml:space="preserve">引擎完成。</w:t>
      </w:r>
    </w:p>
    <w:p>
      <w:pPr>
        <w:pStyle w:val="Compact"/>
        <w:numPr>
          <w:ilvl w:val="0"/>
          <w:numId w:val="1011"/>
        </w:numPr>
      </w:pPr>
      <w:r>
        <w:rPr>
          <w:rFonts w:hint="eastAsia"/>
        </w:rPr>
        <w:t xml:space="preserve">不把</w:t>
      </w:r>
      <w:r>
        <w:t xml:space="preserve"> MMFE </w:t>
      </w:r>
      <w:r>
        <w:rPr>
          <w:rFonts w:hint="eastAsia"/>
        </w:rPr>
        <w:t xml:space="preserve">描述成本体；MMFE</w:t>
      </w:r>
      <w:r>
        <w:t xml:space="preserve"> </w:t>
      </w:r>
      <w:r>
        <w:rPr>
          <w:rFonts w:hint="eastAsia"/>
        </w:rPr>
        <w:t xml:space="preserve">是依据本体执行语义融合的引擎。</w:t>
      </w:r>
    </w:p>
    <w:p>
      <w:pPr>
        <w:pStyle w:val="Compact"/>
        <w:numPr>
          <w:ilvl w:val="0"/>
          <w:numId w:val="1011"/>
        </w:numPr>
      </w:pPr>
      <w:r>
        <w:rPr>
          <w:rFonts w:hint="eastAsia"/>
        </w:rPr>
        <w:t xml:space="preserve">不只展示漂亮图谱，要始终回到业务问题、规则判断和来源证据。</w:t>
      </w:r>
    </w:p>
    <w:p>
      <w:pPr>
        <w:pStyle w:val="Compact"/>
        <w:numPr>
          <w:ilvl w:val="0"/>
          <w:numId w:val="1011"/>
        </w:numPr>
      </w:pPr>
      <w:r>
        <w:rPr>
          <w:rFonts w:hint="eastAsia"/>
        </w:rPr>
        <w:t xml:space="preserve">不表述“每次点击都在线执行完整</w:t>
      </w:r>
      <w:r>
        <w:t xml:space="preserve"> OWL </w:t>
      </w:r>
      <w:r>
        <w:rPr>
          <w:rFonts w:hint="eastAsia"/>
        </w:rPr>
        <w:t xml:space="preserve">推理”；当前演示结果是在构建阶段按本体语义和规则确定性编译，并在运行时进行版本与哈希校验。</w:t>
      </w:r>
    </w:p>
    <w:bookmarkEnd w:id="26"/>
    <w:bookmarkStart w:id="27" w:name="六验收截图"/>
    <w:p>
      <w:pPr>
        <w:pStyle w:val="Heading2"/>
        <w:keepNext/>
        <w:keepLines/>
        <w:spacing w:before="200" w:after="120"/>
      </w:pPr>
      <w:r>
        <w:rPr>
          <w:rFonts w:hint="eastAsia"/>
        </w:rPr>
        <w:t xml:space="preserve">六、验收截图</w:t>
      </w:r>
    </w:p>
    <w:p>
      <w:pPr>
        <w:pStyle w:val="Compact"/>
        <w:numPr>
          <w:ilvl w:val="0"/>
          <w:numId w:val="1012"/>
        </w:numPr>
      </w:pPr>
      <w:r>
        <w:rPr>
          <w:rStyle w:val="VerbatimChar"/>
        </w:rPr>
        <w:t xml:space="preserve">docs/reports/natural_resource_ontology_demo_acceptance/02-heping-results-desktop.png</w:t>
      </w:r>
    </w:p>
    <w:p>
      <w:pPr>
        <w:pStyle w:val="Compact"/>
        <w:numPr>
          <w:ilvl w:val="0"/>
          <w:numId w:val="1012"/>
        </w:numPr>
      </w:pPr>
      <w:r>
        <w:rPr>
          <w:rStyle w:val="VerbatimChar"/>
        </w:rPr>
        <w:t xml:space="preserve">docs/reports/natural_resource_ontology_demo_acceptance/03-heping-evidence-desktop.png</w:t>
      </w:r>
    </w:p>
    <w:p>
      <w:pPr>
        <w:pStyle w:val="Compact"/>
        <w:numPr>
          <w:ilvl w:val="0"/>
          <w:numId w:val="1012"/>
        </w:numPr>
      </w:pPr>
      <w:r>
        <w:rPr>
          <w:rStyle w:val="VerbatimChar"/>
        </w:rPr>
        <w:t xml:space="preserve">docs/reports/natural_resource_ontology_demo_acceptance/04-banzhu-adjustment-desktop.png</w:t>
      </w:r>
    </w:p>
    <w:p>
      <w:pPr>
        <w:pStyle w:val="Compact"/>
        <w:numPr>
          <w:ilvl w:val="0"/>
          <w:numId w:val="1012"/>
        </w:numPr>
      </w:pPr>
      <w:r>
        <w:rPr>
          <w:rStyle w:val="VerbatimChar"/>
        </w:rPr>
        <w:t xml:space="preserve">docs/reports/natural_resource_ontology_demo_acceptance/05-heping-ready-mobile.png</w:t>
      </w:r>
    </w:p>
    <w:p>
      <w:pPr>
        <w:pStyle w:val="Compact"/>
        <w:numPr>
          <w:ilvl w:val="0"/>
          <w:numId w:val="1012"/>
        </w:numPr>
      </w:pPr>
      <w:r>
        <w:rPr>
          <w:rStyle w:val="VerbatimChar"/>
        </w:rPr>
        <w:t xml:space="preserve">docs/reports/natural_resource_ontology_demo_acceptance/06-heping-map-mobile.png</w:t>
      </w:r>
    </w:p>
    <w:bookmarkEnd w:id="27"/>
    <w:bookmarkEnd w:id="28"/>
    <w:sectPr>
      <w:footerReference w:type="default" r:id="rId9"/>
      <w:footnotePr>
        <w:numRestart w:val="eachSect"/>
      </w:footnotePr>
      <w:pgSz w:w="11906" w:h="16838"/>
      <w:pgMar w:top="1247" w:bottom="1134"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color w:val="7F8C99"/>
        <w:sz w:val="16"/>
      </w:rPr>
      <w:t xml:space="preserve">GIS Data Agent | 客户交付版 | 第 </w:t>
    </w:r>
    <w:r>
      <w:rPr>
        <w:rFonts w:ascii="Arial" w:hAnsi="Arial" w:eastAsia="宋体"/>
        <w:color w:val="7F8C99"/>
        <w:sz w:val="16"/>
      </w:rPr>
      <w:fldChar w:fldCharType="begin"/>
      <w:instrText xml:space="preserve"> PAGE </w:instrText>
      <w:fldChar w:fldCharType="separate"/>
      <w:t>1</w:t>
      <w:fldChar w:fldCharType="end"/>
    </w:r>
    <w:r>
      <w:rPr>
        <w:rFonts w:ascii="Arial" w:hAnsi="Arial" w:eastAsia="宋体"/>
        <w:color w:val="7F8C99"/>
        <w:sz w:val="16"/>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宋体"/>
      <w:b w:val="0"/>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eastAsia="黑体"/>
      <w:b/>
      <w:color w:val="17365D"/>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eastAsia="黑体"/>
      <w:b/>
      <w:color w:val="1F4E78"/>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eastAsia="黑体"/>
      <w:b/>
      <w:color w:val="2F5597"/>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自然资源本体应用客户演示讲稿</dc:title>
  <dc:creator/>
  <dc:language>zh-CN</dc:language>
  <cp:keywords/>
  <dcterms:created xsi:type="dcterms:W3CDTF">2026-08-04T15:15:02Z</dcterms:created>
  <dcterms:modified xsi:type="dcterms:W3CDTF">2026-08-04T15:15:02Z</dcterms:modified>
  <dc:subject>GIS Data Agent 自然资源本体应用客户演示</dc:subject>
  <dc:description>V1.1，补充自然资源本体模型在演示中的作用</dc:description>
</cp:coreProperties>
</file>

<file path=docProps/custom.xml><?xml version="1.0" encoding="utf-8"?>
<Properties xmlns="http://schemas.openxmlformats.org/officeDocument/2006/custom-properties" xmlns:vt="http://schemas.openxmlformats.org/officeDocument/2006/docPropsVTypes"/>
</file>