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after="200"/>
        <w:jc w:val="center"/>
      </w:pPr>
      <w:r>
        <w:rPr>
          <w:rFonts w:ascii="Times New Roman" w:hAnsi="Times New Roman" w:eastAsia="黑体"/>
          <w:b/>
          <w:color w:val="17324D"/>
          <w:sz w:val="52"/>
        </w:rPr>
        <w:t>GIS Data Agent</w:t>
      </w:r>
    </w:p>
    <w:p>
      <w:pPr>
        <w:spacing w:after="360"/>
        <w:jc w:val="center"/>
      </w:pPr>
      <w:r>
        <w:rPr>
          <w:rFonts w:ascii="Times New Roman" w:hAnsi="Times New Roman" w:eastAsia="黑体"/>
          <w:b/>
          <w:color w:val="2F6B9A"/>
          <w:sz w:val="44"/>
        </w:rPr>
        <w:t>重型本体生产架构分析与技术选型</w:t>
      </w:r>
    </w:p>
    <w:p>
      <w:pPr>
        <w:jc w:val="center"/>
      </w:pPr>
      <w:r>
        <w:rPr>
          <w:rFonts w:ascii="Times New Roman" w:hAnsi="Times New Roman" w:eastAsia="楷体"/>
          <w:b w:val="0"/>
          <w:color w:val="4D5B66"/>
          <w:sz w:val="25"/>
        </w:rPr>
        <w:t>Enterprise Semantic + Operational Ontology Platform 条件目标设计</w:t>
      </w:r>
    </w:p>
    <w:p/>
    <w:p/>
    <w:p/>
    <w:p/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4649"/>
            <w:tcMar>
              <w:top w:w="120" w:type="dxa"/>
              <w:start w:w="100" w:type="dxa"/>
              <w:bottom w:w="120" w:type="dxa"/>
              <w:end w:w="100" w:type="dxa"/>
            </w:tcMar>
            <w:shd w:fill="D8E8F3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17324D"/>
                <w:sz w:val="21"/>
              </w:rPr>
              <w:t>文档版本</w:t>
            </w:r>
          </w:p>
        </w:tc>
        <w:tc>
          <w:tcPr>
            <w:tcW w:type="dxa" w:w="4649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r/>
            <w:r>
              <w:rPr>
                <w:rFonts w:ascii="Times New Roman" w:hAnsi="Times New Roman" w:eastAsia="宋体"/>
                <w:sz w:val="21"/>
              </w:rPr>
              <w:t>V1.0</w:t>
            </w:r>
          </w:p>
        </w:tc>
      </w:tr>
      <w:tr>
        <w:tc>
          <w:tcPr>
            <w:tcW w:type="dxa" w:w="4649"/>
            <w:tcMar>
              <w:top w:w="120" w:type="dxa"/>
              <w:start w:w="100" w:type="dxa"/>
              <w:bottom w:w="120" w:type="dxa"/>
              <w:end w:w="100" w:type="dxa"/>
            </w:tcMar>
            <w:shd w:fill="D8E8F3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17324D"/>
                <w:sz w:val="21"/>
              </w:rPr>
              <w:t>编制日期</w:t>
            </w:r>
          </w:p>
        </w:tc>
        <w:tc>
          <w:tcPr>
            <w:tcW w:type="dxa" w:w="4649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r/>
            <w:r>
              <w:rPr>
                <w:rFonts w:ascii="Times New Roman" w:hAnsi="Times New Roman" w:eastAsia="宋体"/>
                <w:sz w:val="21"/>
              </w:rPr>
              <w:t>2026-07-15</w:t>
            </w:r>
          </w:p>
        </w:tc>
      </w:tr>
      <w:tr>
        <w:tc>
          <w:tcPr>
            <w:tcW w:type="dxa" w:w="4649"/>
            <w:tcMar>
              <w:top w:w="120" w:type="dxa"/>
              <w:start w:w="100" w:type="dxa"/>
              <w:bottom w:w="120" w:type="dxa"/>
              <w:end w:w="100" w:type="dxa"/>
            </w:tcMar>
            <w:shd w:fill="D8E8F3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17324D"/>
                <w:sz w:val="21"/>
              </w:rPr>
              <w:t>文档性质</w:t>
            </w:r>
          </w:p>
        </w:tc>
        <w:tc>
          <w:tcPr>
            <w:tcW w:type="dxa" w:w="4649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r/>
            <w:r>
              <w:rPr>
                <w:rFonts w:ascii="Times New Roman" w:hAnsi="Times New Roman" w:eastAsia="宋体"/>
                <w:sz w:val="21"/>
              </w:rPr>
              <w:t>企业级重型本体条件目标架构与技术选型</w:t>
            </w:r>
          </w:p>
        </w:tc>
      </w:tr>
      <w:tr>
        <w:tc>
          <w:tcPr>
            <w:tcW w:type="dxa" w:w="4649"/>
            <w:tcMar>
              <w:top w:w="120" w:type="dxa"/>
              <w:start w:w="100" w:type="dxa"/>
              <w:bottom w:w="120" w:type="dxa"/>
              <w:end w:w="100" w:type="dxa"/>
            </w:tcMar>
            <w:shd w:fill="D8E8F3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17324D"/>
                <w:sz w:val="21"/>
              </w:rPr>
              <w:t>当前决策</w:t>
            </w:r>
          </w:p>
        </w:tc>
        <w:tc>
          <w:tcPr>
            <w:tcW w:type="dxa" w:w="4649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r/>
            <w:r>
              <w:rPr>
                <w:rFonts w:ascii="Times New Roman" w:hAnsi="Times New Roman" w:eastAsia="宋体"/>
                <w:sz w:val="21"/>
              </w:rPr>
              <w:t>保持轻量 Stage 1/2；重型 H0-H7 未启动</w:t>
            </w:r>
          </w:p>
        </w:tc>
      </w:tr>
      <w:tr>
        <w:tc>
          <w:tcPr>
            <w:tcW w:type="dxa" w:w="4649"/>
            <w:tcMar>
              <w:top w:w="120" w:type="dxa"/>
              <w:start w:w="100" w:type="dxa"/>
              <w:bottom w:w="120" w:type="dxa"/>
              <w:end w:w="100" w:type="dxa"/>
            </w:tcMar>
            <w:shd w:fill="D8E8F3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17324D"/>
                <w:sz w:val="21"/>
              </w:rPr>
              <w:t>适用项目</w:t>
            </w:r>
          </w:p>
        </w:tc>
        <w:tc>
          <w:tcPr>
            <w:tcW w:type="dxa" w:w="4649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r/>
            <w:r>
              <w:rPr>
                <w:rFonts w:ascii="Times New Roman" w:hAnsi="Times New Roman" w:eastAsia="宋体"/>
                <w:sz w:val="21"/>
              </w:rPr>
              <w:t>GIS Data Agent Cognitive Runtime</w:t>
            </w:r>
          </w:p>
        </w:tc>
      </w:tr>
      <w:tr>
        <w:tc>
          <w:tcPr>
            <w:tcW w:type="dxa" w:w="4649"/>
            <w:tcMar>
              <w:top w:w="120" w:type="dxa"/>
              <w:start w:w="100" w:type="dxa"/>
              <w:bottom w:w="120" w:type="dxa"/>
              <w:end w:w="100" w:type="dxa"/>
            </w:tcMar>
            <w:shd w:fill="D8E8F3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17324D"/>
                <w:sz w:val="21"/>
              </w:rPr>
              <w:t>证据状态</w:t>
            </w:r>
          </w:p>
        </w:tc>
        <w:tc>
          <w:tcPr>
            <w:tcW w:type="dxa" w:w="4649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r/>
            <w:r>
              <w:rPr>
                <w:rFonts w:ascii="Times New Roman" w:hAnsi="Times New Roman" w:eastAsia="宋体"/>
                <w:sz w:val="21"/>
              </w:rPr>
              <w:t>当前实现、目标设计与 needs-owner-input 分开表述</w:t>
            </w:r>
          </w:p>
        </w:tc>
      </w:tr>
    </w:tbl>
    <w:p>
      <w:r>
        <w:br w:type="page"/>
      </w:r>
    </w:p>
    <w:p>
      <w:pPr>
        <w:pStyle w:val="Heading1"/>
        <w:jc w:val="center"/>
      </w:pPr>
      <w:r>
        <w:t>目录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37"/>
        <w:gridCol w:w="680"/>
      </w:tblGrid>
      <w:tr>
        <w:tc>
          <w:tcPr>
            <w:tcW w:type="dxa" w:w="4649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1. 执行摘要</w:t>
            </w:r>
          </w:p>
        </w:tc>
        <w:tc>
          <w:tcPr>
            <w:tcW w:type="dxa" w:w="4649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宋体"/>
                <w:sz w:val="18"/>
              </w:rPr>
              <w:t>3</w:t>
            </w:r>
          </w:p>
        </w:tc>
      </w:tr>
      <w:tr>
        <w:tc>
          <w:tcPr>
            <w:tcW w:type="dxa" w:w="4649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2. 轻量与重型的严格边界</w:t>
            </w:r>
          </w:p>
        </w:tc>
        <w:tc>
          <w:tcPr>
            <w:tcW w:type="dxa" w:w="4649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宋体"/>
                <w:sz w:val="18"/>
              </w:rPr>
              <w:t>3</w:t>
            </w:r>
          </w:p>
        </w:tc>
      </w:tr>
      <w:tr>
        <w:tc>
          <w:tcPr>
            <w:tcW w:type="dxa" w:w="4649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3. 完整逻辑架构</w:t>
            </w:r>
          </w:p>
        </w:tc>
        <w:tc>
          <w:tcPr>
            <w:tcW w:type="dxa" w:w="4649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宋体"/>
                <w:sz w:val="18"/>
              </w:rPr>
              <w:t>4</w:t>
            </w:r>
          </w:p>
        </w:tc>
      </w:tr>
      <w:tr>
        <w:tc>
          <w:tcPr>
            <w:tcW w:type="dxa" w:w="4649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4. 六个控制与数据平面</w:t>
            </w:r>
          </w:p>
        </w:tc>
        <w:tc>
          <w:tcPr>
            <w:tcW w:type="dxa" w:w="4649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宋体"/>
                <w:sz w:val="18"/>
              </w:rPr>
              <w:t>5</w:t>
            </w:r>
          </w:p>
        </w:tc>
      </w:tr>
      <w:tr>
        <w:tc>
          <w:tcPr>
            <w:tcW w:type="dxa" w:w="4649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5. 形式语义标准与适用范围</w:t>
            </w:r>
          </w:p>
        </w:tc>
        <w:tc>
          <w:tcPr>
            <w:tcW w:type="dxa" w:w="4649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宋体"/>
                <w:sz w:val="18"/>
              </w:rPr>
              <w:t>6</w:t>
            </w:r>
          </w:p>
        </w:tc>
      </w:tr>
      <w:tr>
        <w:tc>
          <w:tcPr>
            <w:tcW w:type="dxa" w:w="4649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6. GIS 特定边界</w:t>
            </w:r>
          </w:p>
        </w:tc>
        <w:tc>
          <w:tcPr>
            <w:tcW w:type="dxa" w:w="4649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宋体"/>
                <w:sz w:val="18"/>
              </w:rPr>
              <w:t>6</w:t>
            </w:r>
          </w:p>
        </w:tc>
      </w:tr>
      <w:tr>
        <w:tc>
          <w:tcPr>
            <w:tcW w:type="dxa" w:w="4649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7. 多存储一致性</w:t>
            </w:r>
          </w:p>
        </w:tc>
        <w:tc>
          <w:tcPr>
            <w:tcW w:type="dxa" w:w="4649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宋体"/>
                <w:sz w:val="18"/>
              </w:rPr>
              <w:t>7</w:t>
            </w:r>
          </w:p>
        </w:tc>
      </w:tr>
      <w:tr>
        <w:tc>
          <w:tcPr>
            <w:tcW w:type="dxa" w:w="4649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8. 查询网关与运行时协议</w:t>
            </w:r>
          </w:p>
        </w:tc>
        <w:tc>
          <w:tcPr>
            <w:tcW w:type="dxa" w:w="4649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宋体"/>
                <w:sz w:val="18"/>
              </w:rPr>
              <w:t>7</w:t>
            </w:r>
          </w:p>
        </w:tc>
      </w:tr>
      <w:tr>
        <w:tc>
          <w:tcPr>
            <w:tcW w:type="dxa" w:w="4649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9. 动态安全架构</w:t>
            </w:r>
          </w:p>
        </w:tc>
        <w:tc>
          <w:tcPr>
            <w:tcW w:type="dxa" w:w="4649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宋体"/>
                <w:sz w:val="18"/>
              </w:rPr>
              <w:t>8</w:t>
            </w:r>
          </w:p>
        </w:tc>
      </w:tr>
      <w:tr>
        <w:tc>
          <w:tcPr>
            <w:tcW w:type="dxa" w:w="4649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10. Ontology CI/CD 与发布治理</w:t>
            </w:r>
          </w:p>
        </w:tc>
        <w:tc>
          <w:tcPr>
            <w:tcW w:type="dxa" w:w="4649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宋体"/>
                <w:sz w:val="18"/>
              </w:rPr>
              <w:t>8</w:t>
            </w:r>
          </w:p>
        </w:tc>
      </w:tr>
      <w:tr>
        <w:tc>
          <w:tcPr>
            <w:tcW w:type="dxa" w:w="4649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11. 生产部署拓扑</w:t>
            </w:r>
          </w:p>
        </w:tc>
        <w:tc>
          <w:tcPr>
            <w:tcW w:type="dxa" w:w="4649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宋体"/>
                <w:sz w:val="18"/>
              </w:rPr>
              <w:t>8</w:t>
            </w:r>
          </w:p>
        </w:tc>
      </w:tr>
      <w:tr>
        <w:tc>
          <w:tcPr>
            <w:tcW w:type="dxa" w:w="4649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12. 技术选型</w:t>
            </w:r>
          </w:p>
        </w:tc>
        <w:tc>
          <w:tcPr>
            <w:tcW w:type="dxa" w:w="4649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宋体"/>
                <w:sz w:val="18"/>
              </w:rPr>
              <w:t>9</w:t>
            </w:r>
          </w:p>
        </w:tc>
      </w:tr>
      <w:tr>
        <w:tc>
          <w:tcPr>
            <w:tcW w:type="dxa" w:w="4649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13. 团队与运营要求</w:t>
            </w:r>
          </w:p>
        </w:tc>
        <w:tc>
          <w:tcPr>
            <w:tcW w:type="dxa" w:w="4649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宋体"/>
                <w:sz w:val="18"/>
              </w:rPr>
              <w:t>10</w:t>
            </w:r>
          </w:p>
        </w:tc>
      </w:tr>
      <w:tr>
        <w:tc>
          <w:tcPr>
            <w:tcW w:type="dxa" w:w="4649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14. 成本、风险与控制</w:t>
            </w:r>
          </w:p>
        </w:tc>
        <w:tc>
          <w:tcPr>
            <w:tcW w:type="dxa" w:w="4649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宋体"/>
                <w:sz w:val="18"/>
              </w:rPr>
              <w:t>10</w:t>
            </w:r>
          </w:p>
        </w:tc>
      </w:tr>
      <w:tr>
        <w:tc>
          <w:tcPr>
            <w:tcW w:type="dxa" w:w="4649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15. 分阶段落地路线</w:t>
            </w:r>
          </w:p>
        </w:tc>
        <w:tc>
          <w:tcPr>
            <w:tcW w:type="dxa" w:w="4649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宋体"/>
                <w:sz w:val="18"/>
              </w:rPr>
              <w:t>11</w:t>
            </w:r>
          </w:p>
        </w:tc>
      </w:tr>
      <w:tr>
        <w:tc>
          <w:tcPr>
            <w:tcW w:type="dxa" w:w="4649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16. 准入标准与最终建议</w:t>
            </w:r>
          </w:p>
        </w:tc>
        <w:tc>
          <w:tcPr>
            <w:tcW w:type="dxa" w:w="4649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宋体"/>
                <w:sz w:val="18"/>
              </w:rPr>
              <w:t>12</w:t>
            </w:r>
          </w:p>
        </w:tc>
      </w:tr>
      <w:tr>
        <w:tc>
          <w:tcPr>
            <w:tcW w:type="dxa" w:w="4649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17. 证据与限制</w:t>
            </w:r>
          </w:p>
        </w:tc>
        <w:tc>
          <w:tcPr>
            <w:tcW w:type="dxa" w:w="4649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宋体"/>
                <w:sz w:val="18"/>
              </w:rPr>
              <w:t>12</w:t>
            </w:r>
          </w:p>
        </w:tc>
      </w:tr>
    </w:tbl>
    <w:p>
      <w:pPr>
        <w:jc w:val="center"/>
      </w:pPr>
      <w:r>
        <w:rPr>
          <w:rFonts w:ascii="Times New Roman" w:hAnsi="Times New Roman" w:eastAsia="宋体"/>
          <w:b w:val="0"/>
          <w:color w:val="6B737B"/>
          <w:sz w:val="18"/>
        </w:rPr>
        <w:t>目录页码对应 V1.0 正式版版式；后续修订时应同步更新。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宋体"/>
          <w:sz w:val="30"/>
        </w:rPr>
        <w:t>1. 执行摘要</w:t>
      </w:r>
    </w:p>
    <w:p>
      <w:pPr>
        <w:spacing w:line="300" w:lineRule="auto" w:after="100"/>
        <w:ind w:firstLine="420"/>
      </w:pPr>
      <w:r>
        <w:rPr>
          <w:rFonts w:ascii="Times New Roman" w:hAnsi="Times New Roman" w:eastAsia="宋体"/>
          <w:sz w:val="21"/>
        </w:rPr>
        <w:t xml:space="preserve">“重型本体”不是安装一个图数据库，也不是把 RAG 换成知识图谱。对 GIS Data Agent 而言，它是一套企业级 </w:t>
      </w:r>
      <w:r>
        <w:rPr>
          <w:rFonts w:ascii="Times New Roman" w:hAnsi="Times New Roman" w:eastAsia="宋体"/>
          <w:b/>
          <w:sz w:val="21"/>
        </w:rPr>
        <w:t>Semantic + Operational Ontology Platform</w:t>
      </w:r>
      <w:r>
        <w:rPr>
          <w:rFonts w:ascii="Times New Roman" w:hAnsi="Times New Roman" w:eastAsia="宋体"/>
          <w:sz w:val="21"/>
        </w:rPr>
        <w:t>：同时治理领域语义、标准来源、真实业务对象、对象状态、Action、动态权限、形式约束、查询联邦、发布回滚和多存储投影，并把这些能力提供给 Cognitive Runtime 和业务应用。</w:t>
      </w:r>
    </w:p>
    <w:p>
      <w:pPr>
        <w:spacing w:line="300" w:lineRule="auto" w:after="100"/>
        <w:ind w:firstLine="420"/>
      </w:pPr>
      <w:r>
        <w:rPr>
          <w:rFonts w:ascii="Times New Roman" w:hAnsi="Times New Roman" w:eastAsia="宋体"/>
          <w:sz w:val="21"/>
        </w:rPr>
        <w:t>这套架构在技术上可行，也能解决跨组织语义协同、复杂适用性推理、对象级动态安全、稳定 SDK、可审计行动和独立本体发布等生产问题；但其成本和组织复杂度显著高于当前“PostgreSQL 权威写模型 + 不可变 OntologyPackage + 可重建投影”的路线。它不应因为“本体更先进”而启动，只应在明确的业务问题、SLO、互操作需求和平台团队就绪后进入。</w:t>
      </w:r>
    </w:p>
    <w:p>
      <w:pPr>
        <w:spacing w:line="300" w:lineRule="auto" w:after="100"/>
        <w:ind w:firstLine="420"/>
      </w:pPr>
      <w:r>
        <w:rPr>
          <w:rFonts w:ascii="Times New Roman" w:hAnsi="Times New Roman" w:eastAsia="宋体"/>
          <w:sz w:val="21"/>
        </w:rPr>
        <w:t>对 GIS Data Agent 的建议是：</w:t>
      </w:r>
    </w:p>
    <w:p>
      <w:pPr>
        <w:ind w:left="454" w:hanging="312"/>
      </w:pPr>
      <w:r>
        <w:rPr>
          <w:rFonts w:ascii="Times New Roman" w:hAnsi="Times New Roman" w:eastAsia="宋体"/>
          <w:sz w:val="21"/>
        </w:rPr>
        <w:t>1. 当前继续完成轻量 Stage 1/2，保持 PostgreSQL/PostGIS 和 Standards Platform 的权威边界；</w:t>
      </w:r>
    </w:p>
    <w:p>
      <w:pPr>
        <w:ind w:left="454" w:hanging="312"/>
      </w:pPr>
      <w:r>
        <w:rPr>
          <w:rFonts w:ascii="Times New Roman" w:hAnsi="Times New Roman" w:eastAsia="宋体"/>
          <w:sz w:val="21"/>
        </w:rPr>
        <w:t>2. 现在完成重型目标架构、能力问题集、ADR 模板和进入门，不部署重型平台；</w:t>
      </w:r>
    </w:p>
    <w:p>
      <w:pPr>
        <w:ind w:left="454" w:hanging="312"/>
      </w:pPr>
      <w:r>
        <w:rPr>
          <w:rFonts w:ascii="Times New Roman" w:hAnsi="Times New Roman" w:eastAsia="宋体"/>
          <w:sz w:val="21"/>
        </w:rPr>
        <w:t>3. 只有当跨组织 RDF/SPARQL、复杂 SHACL/OWL 2 RL 推理、对象级动态安全、多应用 Ontology SDK 或独立发布治理成为稳定需求，且轻量路线无法满足时，才启动 H1-H7；</w:t>
      </w:r>
    </w:p>
    <w:p>
      <w:pPr>
        <w:ind w:left="454" w:hanging="312"/>
      </w:pPr>
      <w:r>
        <w:rPr>
          <w:rFonts w:ascii="Times New Roman" w:hAnsi="Times New Roman" w:eastAsia="宋体"/>
          <w:sz w:val="21"/>
        </w:rPr>
        <w:t>4. 即使进入重型路线，也不得把全国级地块、栅格、轨迹全部 RDF 化，不得形成多个可写真值源。</w:t>
      </w:r>
    </w:p>
    <w:p>
      <w:pPr>
        <w:pStyle w:val="Heading1"/>
      </w:pPr>
      <w:r>
        <w:rPr>
          <w:rFonts w:ascii="Times New Roman" w:hAnsi="Times New Roman" w:eastAsia="宋体"/>
          <w:sz w:val="30"/>
        </w:rPr>
        <w:t>2. “轻量”与“重型”的严格边界</w:t>
      </w:r>
    </w:p>
    <w:p>
      <w:pPr>
        <w:spacing w:before="40" w:after="160"/>
        <w:jc w:val="center"/>
      </w:pPr>
      <w:r>
        <w:rPr>
          <w:rFonts w:ascii="Times New Roman" w:hAnsi="Times New Roman" w:eastAsia="宋体"/>
          <w:b w:val="0"/>
          <w:i/>
          <w:color w:val="4D5B66"/>
          <w:sz w:val="19"/>
        </w:rPr>
        <w:t>表 1  轻量受治理本体与重型本体平台边界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tblHeader w:val="true"/>
        </w:trP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8E8F3"/>
          </w:tcPr>
          <w:p>
            <w:pPr>
              <w:spacing w:after="0" w:line="252" w:lineRule="auto"/>
            </w:pPr>
            <w:r>
              <w:rPr>
                <w:b/>
                <w:color w:val="17324D"/>
              </w:rPr>
            </w:r>
            <w:r>
              <w:rPr>
                <w:rFonts w:ascii="Times New Roman" w:hAnsi="Times New Roman" w:eastAsia="宋体"/>
                <w:b/>
                <w:color w:val="17324D"/>
                <w:sz w:val="18"/>
              </w:rPr>
              <w:t>维度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8E8F3"/>
          </w:tcPr>
          <w:p>
            <w:pPr>
              <w:spacing w:after="0" w:line="252" w:lineRule="auto"/>
            </w:pPr>
            <w:r>
              <w:rPr>
                <w:b/>
                <w:color w:val="17324D"/>
              </w:rPr>
            </w:r>
            <w:r>
              <w:rPr>
                <w:rFonts w:ascii="Times New Roman" w:hAnsi="Times New Roman" w:eastAsia="宋体"/>
                <w:b/>
                <w:color w:val="17324D"/>
                <w:sz w:val="18"/>
              </w:rPr>
              <w:t>轻量受治理本体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8E8F3"/>
          </w:tcPr>
          <w:p>
            <w:pPr>
              <w:spacing w:after="0" w:line="252" w:lineRule="auto"/>
            </w:pPr>
            <w:r>
              <w:rPr>
                <w:b/>
                <w:color w:val="17324D"/>
              </w:rPr>
            </w:r>
            <w:r>
              <w:rPr>
                <w:rFonts w:ascii="Times New Roman" w:hAnsi="Times New Roman" w:eastAsia="宋体"/>
                <w:b/>
                <w:color w:val="17324D"/>
                <w:sz w:val="18"/>
              </w:rPr>
              <w:t>重型本体平台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核心目标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支撑一个产品内的消歧、检索、规划和评价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支撑多组织、多应用、形式语义和运营行动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权威模型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PostgreSQL 关系写模型 + JSON Package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Canonical Model Registry + 受治理的多模型发布体系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语义能力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稳定 ID、关系、适用性、安全 DSL、有界遍历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SKOS/OWL/SHACL/PROV-O/GeoSPARQL/OWL-Time、SPARQL 和受限推理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运营能力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Typed Object/Action contracts 逐步落地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Object/Property/Link/Action/Function/Interface 平台服务和 SDK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存储形态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PostgreSQL/pgvector 为主，投影按基准引入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RDF、Operational Graph、Search/Vector 等多种可重建投影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组织要求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产品团队可维护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专职语义、本体平台、安全、SRE 和领域治理团队</w:t>
            </w:r>
          </w:p>
        </w:tc>
      </w:tr>
    </w:tbl>
    <w:p>
      <w:pPr>
        <w:spacing w:after="20"/>
      </w:pPr>
    </w:p>
    <w:p>
      <w:pPr>
        <w:spacing w:line="300" w:lineRule="auto" w:after="100"/>
        <w:ind w:firstLine="420"/>
      </w:pPr>
      <w:r>
        <w:rPr>
          <w:rFonts w:ascii="Times New Roman" w:hAnsi="Times New Roman" w:eastAsia="宋体"/>
          <w:sz w:val="21"/>
        </w:rPr>
        <w:t>“重”主要重在治理与运行责任，而不是节点或三元组数量。只有图数据库但没有版本、来源、适用性、策略、CI/CD、对账和回滚，不是生产级重型本体。</w:t>
      </w:r>
    </w:p>
    <w:p>
      <w:pPr>
        <w:pStyle w:val="Heading1"/>
      </w:pPr>
      <w:r>
        <w:rPr>
          <w:rFonts w:ascii="Times New Roman" w:hAnsi="Times New Roman" w:eastAsia="宋体"/>
          <w:sz w:val="30"/>
        </w:rPr>
        <w:t>3. 完整逻辑架构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403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heavy_ontology_platform_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hAnsi="Times New Roman" w:eastAsia="宋体"/>
          <w:b w:val="0"/>
          <w:i/>
          <w:color w:val="4D5B66"/>
          <w:sz w:val="19"/>
        </w:rPr>
        <w:t>图 1 重型本体生产平台架构</w:t>
      </w:r>
    </w:p>
    <w:p>
      <w:pPr>
        <w:spacing w:line="300" w:lineRule="auto" w:after="100"/>
        <w:ind w:firstLine="420"/>
      </w:pPr>
      <w:r>
        <w:rPr>
          <w:rFonts w:ascii="Times New Roman" w:hAnsi="Times New Roman" w:eastAsia="宋体"/>
          <w:sz w:val="21"/>
        </w:rPr>
        <w:t>完整链路为：</w:t>
      </w:r>
    </w:p>
    <w:p>
      <w:pPr>
        <w:spacing w:before="60" w:after="120"/>
        <w:ind w:left="283" w:right="170"/>
        <w:shd w:fill="F2F4F6"/>
      </w:pPr>
      <w:r>
        <w:rPr>
          <w:rFonts w:ascii="Consolas" w:hAnsi="Consolas" w:eastAsia="等线"/>
          <w:b w:val="0"/>
          <w:color w:val="263645"/>
          <w:sz w:val="16"/>
        </w:rPr>
        <w:t>Ontology Design / Governance</w:t>
        <w:br/>
        <w:t>→ Ingestion / Mapping</w:t>
        <w:br/>
        <w:t>→ Canonical Ontology Model Registry</w:t>
        <w:br/>
        <w:t>→ Validation / Reasoning / Release</w:t>
        <w:br/>
        <w:t>→ RDF/OWL Store + Operational Object Graph + Search/Vector projections</w:t>
        <w:br/>
        <w:t>→ Semantic Query Gateway</w:t>
        <w:br/>
        <w:t>→ Dynamic Policy Engine</w:t>
        <w:br/>
        <w:t>→ Object &amp; Action Service</w:t>
        <w:br/>
        <w:t>→ SQL / PostGIS / ArcPy / TWM / Standards / MCP</w:t>
      </w:r>
    </w:p>
    <w:p>
      <w:pPr>
        <w:spacing w:line="300" w:lineRule="auto" w:after="100"/>
        <w:ind w:firstLine="420"/>
      </w:pPr>
      <w:r>
        <w:rPr>
          <w:rFonts w:ascii="Times New Roman" w:hAnsi="Times New Roman" w:eastAsia="宋体"/>
          <w:sz w:val="21"/>
        </w:rPr>
        <w:t>图中 PostgreSQL/PostGIS 仍保存业务和事务事实，Standards Platform 仍保存标准审定和发布真值。RDF Store、Operational Graph、搜索与向量索引均是版本化、可重建、可对账的服务模型，不获得独立修改业务事实的权力。</w:t>
      </w:r>
    </w:p>
    <w:p>
      <w:pPr>
        <w:pStyle w:val="Heading1"/>
      </w:pPr>
      <w:r>
        <w:rPr>
          <w:rFonts w:ascii="Times New Roman" w:hAnsi="Times New Roman" w:eastAsia="宋体"/>
          <w:sz w:val="30"/>
        </w:rPr>
        <w:t>4. 六个控制与数据平面</w:t>
      </w:r>
    </w:p>
    <w:p>
      <w:pPr>
        <w:pStyle w:val="Heading2"/>
      </w:pPr>
      <w:r>
        <w:rPr>
          <w:rFonts w:ascii="Times New Roman" w:hAnsi="Times New Roman" w:eastAsia="宋体"/>
          <w:sz w:val="26"/>
        </w:rPr>
        <w:t>4.1 设计与治理控制面</w:t>
      </w:r>
    </w:p>
    <w:p>
      <w:pPr>
        <w:spacing w:line="300" w:lineRule="auto" w:after="100"/>
        <w:ind w:firstLine="420"/>
      </w:pPr>
      <w:r>
        <w:rPr>
          <w:rFonts w:ascii="Times New Roman" w:hAnsi="Times New Roman" w:eastAsia="宋体"/>
          <w:sz w:val="21"/>
        </w:rPr>
        <w:t>提供 Ontology Studio、命名空间、术语体系、概念/关系/Shape/Action 编辑、映射评审、影响分析和职责分离。生产发布至少经过作者、领域审定、安全/数据治理复核和发布者四类职责；小团队可兼任角色，但不能由 Agent 自行完成全链审批。</w:t>
      </w:r>
    </w:p>
    <w:p>
      <w:pPr>
        <w:pStyle w:val="Heading2"/>
      </w:pPr>
      <w:r>
        <w:rPr>
          <w:rFonts w:ascii="Times New Roman" w:hAnsi="Times New Roman" w:eastAsia="宋体"/>
          <w:sz w:val="26"/>
        </w:rPr>
        <w:t>4.2 摄取与知识编译面</w:t>
      </w:r>
    </w:p>
    <w:p>
      <w:pPr>
        <w:spacing w:line="300" w:lineRule="auto" w:after="100"/>
        <w:ind w:firstLine="420"/>
      </w:pPr>
      <w:r>
        <w:rPr>
          <w:rFonts w:ascii="Times New Roman" w:hAnsi="Times New Roman" w:eastAsia="宋体"/>
          <w:sz w:val="21"/>
        </w:rPr>
        <w:t xml:space="preserve">从 Standards Platform、XMI、GIS YAML、MMFE 包、数据库元数据、API schema、外部本体和人工维护模型摄取候选。编译器执行稳定 ID 生成、URI 映射、适用性补全、来源绑定、冲突检测和包签名。LLM 只能提出候选，不能把相似度直接发布为 </w:t>
      </w:r>
      <w:r>
        <w:rPr>
          <w:rFonts w:ascii="Consolas" w:hAnsi="Consolas" w:eastAsia="等线"/>
          <w:b w:val="0"/>
          <w:color w:val="7A2E2E"/>
          <w:sz w:val="18"/>
        </w:rPr>
        <w:t>owl:sameAs</w:t>
      </w:r>
      <w:r>
        <w:rPr>
          <w:rFonts w:ascii="Times New Roman" w:hAnsi="Times New Roman" w:eastAsia="宋体"/>
          <w:sz w:val="21"/>
        </w:rPr>
        <w:t xml:space="preserve"> 或强制规则。</w:t>
      </w:r>
    </w:p>
    <w:p>
      <w:pPr>
        <w:pStyle w:val="Heading2"/>
      </w:pPr>
      <w:r>
        <w:rPr>
          <w:rFonts w:ascii="Times New Roman" w:hAnsi="Times New Roman" w:eastAsia="宋体"/>
          <w:sz w:val="26"/>
        </w:rPr>
        <w:t>4.3 语义模型与推理面</w:t>
      </w:r>
    </w:p>
    <w:p>
      <w:pPr>
        <w:spacing w:line="300" w:lineRule="auto" w:after="100"/>
        <w:ind w:firstLine="420"/>
      </w:pPr>
      <w:r>
        <w:rPr>
          <w:rFonts w:ascii="Times New Roman" w:hAnsi="Times New Roman" w:eastAsia="宋体"/>
          <w:sz w:val="21"/>
        </w:rPr>
        <w:t>Canonical Model Registry 保存逻辑模型、父版本、变更集、来源、有效期、地域、租户、ACL、审批和 content hash。RDF/OWL/SHACL 服务承载形式语义和验证；运行时推理默认采用有界查询、预物化或 OWL 2 RL 子集，禁止无边界 OWL 2 DL 在线推理。</w:t>
      </w:r>
    </w:p>
    <w:p>
      <w:pPr>
        <w:pStyle w:val="Heading2"/>
      </w:pPr>
      <w:r>
        <w:rPr>
          <w:rFonts w:ascii="Times New Roman" w:hAnsi="Times New Roman" w:eastAsia="宋体"/>
          <w:sz w:val="26"/>
        </w:rPr>
        <w:t>4.4 运营对象与行动面</w:t>
      </w:r>
    </w:p>
    <w:p>
      <w:pPr>
        <w:spacing w:line="300" w:lineRule="auto" w:after="100"/>
        <w:ind w:firstLine="420"/>
      </w:pPr>
      <w:r>
        <w:rPr>
          <w:rFonts w:ascii="Times New Roman" w:hAnsi="Times New Roman" w:eastAsia="宋体"/>
          <w:sz w:val="21"/>
        </w:rPr>
        <w:t>Operational Ontology 将稳定的 ObjectType、PropertyType、LinkType、ActionType、FunctionType 和 InterfaceType 发布为服务契约。对象实例引用真实记录和版本，Action 在执行前形成 ChangeSet，在执行后形成 ActionResult，并通过 Capability 调用 SQL、PostGIS、ArcPy、TWM 或 MCP。</w:t>
      </w:r>
    </w:p>
    <w:p>
      <w:pPr>
        <w:pStyle w:val="Heading2"/>
      </w:pPr>
      <w:r>
        <w:rPr>
          <w:rFonts w:ascii="Times New Roman" w:hAnsi="Times New Roman" w:eastAsia="宋体"/>
          <w:sz w:val="26"/>
        </w:rPr>
        <w:t>4.5 查询与策略运行面</w:t>
      </w:r>
    </w:p>
    <w:p>
      <w:pPr>
        <w:spacing w:line="300" w:lineRule="auto" w:after="100"/>
        <w:ind w:firstLine="420"/>
      </w:pPr>
      <w:r>
        <w:rPr>
          <w:rFonts w:ascii="Times New Roman" w:hAnsi="Times New Roman" w:eastAsia="宋体"/>
          <w:sz w:val="21"/>
        </w:rPr>
        <w:t xml:space="preserve">Semantic Query Gateway 屏蔽 SPARQL、图遍历、SQL、全文、向量和空间查询的差异，执行查询预算、版本锁定、权限下推、来源保留和 EvidenceBundle 组装。Dynamic Policy Engine 对对象、属性、关系、Action、结果和 AI 上下文分别判定 </w:t>
      </w:r>
      <w:r>
        <w:rPr>
          <w:rFonts w:ascii="Consolas" w:hAnsi="Consolas" w:eastAsia="等线"/>
          <w:b w:val="0"/>
          <w:color w:val="7A2E2E"/>
          <w:sz w:val="18"/>
        </w:rPr>
        <w:t>allow</w:t>
      </w:r>
      <w:r>
        <w:rPr>
          <w:rFonts w:ascii="Times New Roman" w:hAnsi="Times New Roman" w:eastAsia="宋体"/>
          <w:sz w:val="21"/>
        </w:rPr>
        <w:t>、</w:t>
      </w:r>
      <w:r>
        <w:rPr>
          <w:rFonts w:ascii="Consolas" w:hAnsi="Consolas" w:eastAsia="等线"/>
          <w:b w:val="0"/>
          <w:color w:val="7A2E2E"/>
          <w:sz w:val="18"/>
        </w:rPr>
        <w:t>deny</w:t>
      </w:r>
      <w:r>
        <w:rPr>
          <w:rFonts w:ascii="Times New Roman" w:hAnsi="Times New Roman" w:eastAsia="宋体"/>
          <w:sz w:val="21"/>
        </w:rPr>
        <w:t xml:space="preserve"> 或 </w:t>
      </w:r>
      <w:r>
        <w:rPr>
          <w:rFonts w:ascii="Consolas" w:hAnsi="Consolas" w:eastAsia="等线"/>
          <w:b w:val="0"/>
          <w:color w:val="7A2E2E"/>
          <w:sz w:val="18"/>
        </w:rPr>
        <w:t>requires-approval</w:t>
      </w:r>
      <w:r>
        <w:rPr>
          <w:rFonts w:ascii="Times New Roman" w:hAnsi="Times New Roman" w:eastAsia="宋体"/>
          <w:sz w:val="21"/>
        </w:rPr>
        <w:t>。</w:t>
      </w:r>
    </w:p>
    <w:p>
      <w:pPr>
        <w:pStyle w:val="Heading2"/>
      </w:pPr>
      <w:r>
        <w:rPr>
          <w:rFonts w:ascii="Times New Roman" w:hAnsi="Times New Roman" w:eastAsia="宋体"/>
          <w:sz w:val="26"/>
        </w:rPr>
        <w:t>4.6 运营保障面</w:t>
      </w:r>
    </w:p>
    <w:p>
      <w:pPr>
        <w:spacing w:line="300" w:lineRule="auto" w:after="100"/>
        <w:ind w:firstLine="420"/>
      </w:pPr>
      <w:r>
        <w:rPr>
          <w:rFonts w:ascii="Times New Roman" w:hAnsi="Times New Roman" w:eastAsia="宋体"/>
          <w:sz w:val="21"/>
        </w:rPr>
        <w:t>Kafka/Redpanda 或同等级事件流承载版本化变更、重放、死信和投影传播；Transactional Outbox 保证权威事务与事件一致。OTel 统一跟踪编译、发布、查询、策略、投影和 Action。HA、备份、恢复、密钥、签名、租户隔离和容灾属于平台范围，不得留给单个 Agent 临时处理。</w:t>
      </w:r>
    </w:p>
    <w:p>
      <w:pPr>
        <w:pStyle w:val="Heading1"/>
      </w:pPr>
      <w:r>
        <w:rPr>
          <w:rFonts w:ascii="Times New Roman" w:hAnsi="Times New Roman" w:eastAsia="宋体"/>
          <w:sz w:val="30"/>
        </w:rPr>
        <w:t>5. 形式语义标准与适用范围</w:t>
      </w:r>
    </w:p>
    <w:p>
      <w:pPr>
        <w:spacing w:before="40" w:after="160"/>
        <w:jc w:val="center"/>
      </w:pPr>
      <w:r>
        <w:rPr>
          <w:rFonts w:ascii="Times New Roman" w:hAnsi="Times New Roman" w:eastAsia="宋体"/>
          <w:b w:val="0"/>
          <w:i/>
          <w:color w:val="4D5B66"/>
          <w:sz w:val="19"/>
        </w:rPr>
        <w:t>表 2  形式语义标准及生产边界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tblHeader w:val="true"/>
        </w:trP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8E8F3"/>
          </w:tcPr>
          <w:p>
            <w:pPr>
              <w:spacing w:after="0" w:line="252" w:lineRule="auto"/>
            </w:pPr>
            <w:r>
              <w:rPr>
                <w:b/>
                <w:color w:val="17324D"/>
              </w:rPr>
            </w:r>
            <w:r>
              <w:rPr>
                <w:rFonts w:ascii="Times New Roman" w:hAnsi="Times New Roman" w:eastAsia="宋体"/>
                <w:b/>
                <w:color w:val="17324D"/>
                <w:sz w:val="18"/>
              </w:rPr>
              <w:t>标准/机制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8E8F3"/>
          </w:tcPr>
          <w:p>
            <w:pPr>
              <w:spacing w:after="0" w:line="252" w:lineRule="auto"/>
            </w:pPr>
            <w:r>
              <w:rPr>
                <w:b/>
                <w:color w:val="17324D"/>
              </w:rPr>
            </w:r>
            <w:r>
              <w:rPr>
                <w:rFonts w:ascii="Times New Roman" w:hAnsi="Times New Roman" w:eastAsia="宋体"/>
                <w:b/>
                <w:color w:val="17324D"/>
                <w:sz w:val="18"/>
              </w:rPr>
              <w:t>生产用途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8E8F3"/>
          </w:tcPr>
          <w:p>
            <w:pPr>
              <w:spacing w:after="0" w:line="252" w:lineRule="auto"/>
            </w:pPr>
            <w:r>
              <w:rPr>
                <w:b/>
                <w:color w:val="17324D"/>
              </w:rPr>
            </w:r>
            <w:r>
              <w:rPr>
                <w:rFonts w:ascii="Times New Roman" w:hAnsi="Times New Roman" w:eastAsia="宋体"/>
                <w:b/>
                <w:color w:val="17324D"/>
                <w:sz w:val="18"/>
              </w:rPr>
              <w:t>使用边界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SKOS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术语、主题词、broader/narrower、受审定映射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onsolas" w:hAnsi="Consolas" w:eastAsia="等线"/>
                <w:b w:val="0"/>
                <w:color w:val="7A2E2E"/>
                <w:sz w:val="18"/>
              </w:rPr>
              <w:t>exactMatch</w:t>
            </w:r>
            <w:r>
              <w:rPr>
                <w:rFonts w:ascii="Times New Roman" w:hAnsi="Times New Roman" w:eastAsia="宋体"/>
                <w:sz w:val="18"/>
              </w:rPr>
              <w:t xml:space="preserve"> 必须审定；不替代业务约束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OWL 2 / OWL 2 RL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类型、属性和有限规则推理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优先离线或物化；复杂 DL 在线推理需独立基准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SHACL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发布时和运行前的数据/模型约束校验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Shape 版本必须与 ontology package 一致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PROV-O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来源、生成活动、责任主体和派生链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与现有 lineage ID 对齐，避免第二套来源真值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GeoSPARQL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几何类型、空间关系和语义互操作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大规模空间计算仍交给 PostGIS/ArcPy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OWL-Time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标准、关系、对象状态和适用性的时间表达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不能取代业务时间数据库和版本控制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DCAT / Dublin Core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数据产品、目录和发布元数据互操作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只表达目录语义，不承载全部运营对象</w:t>
            </w:r>
          </w:p>
        </w:tc>
      </w:tr>
    </w:tbl>
    <w:p>
      <w:pPr>
        <w:spacing w:after="20"/>
      </w:pPr>
    </w:p>
    <w:p>
      <w:pPr>
        <w:spacing w:line="300" w:lineRule="auto" w:after="100"/>
        <w:ind w:firstLine="420"/>
      </w:pPr>
      <w:r>
        <w:rPr>
          <w:rFonts w:ascii="Times New Roman" w:hAnsi="Times New Roman" w:eastAsia="宋体"/>
          <w:sz w:val="21"/>
        </w:rPr>
        <w:t>交换格式支持 JSON-LD、Turtle 和 RDF/XML；产品内部可继续使用 Pydantic/JSON Schema 契约。格式统一不等于权威统一，所有导入必须保留来源、版本和映射状态。</w:t>
      </w:r>
    </w:p>
    <w:p>
      <w:pPr>
        <w:pStyle w:val="Heading1"/>
      </w:pPr>
      <w:r>
        <w:rPr>
          <w:rFonts w:ascii="Times New Roman" w:hAnsi="Times New Roman" w:eastAsia="宋体"/>
          <w:sz w:val="30"/>
        </w:rPr>
        <w:t>6. GIS 特定边界</w:t>
      </w:r>
    </w:p>
    <w:p>
      <w:pPr>
        <w:spacing w:line="300" w:lineRule="auto" w:after="100"/>
        <w:ind w:firstLine="420"/>
      </w:pPr>
      <w:r>
        <w:rPr>
          <w:rFonts w:ascii="Times New Roman" w:hAnsi="Times New Roman" w:eastAsia="宋体"/>
          <w:sz w:val="21"/>
        </w:rPr>
        <w:t>建议采用以下混合架构：</w:t>
      </w:r>
    </w:p>
    <w:p>
      <w:pPr>
        <w:spacing w:before="60" w:after="120"/>
        <w:ind w:left="283" w:right="170"/>
        <w:shd w:fill="F2F4F6"/>
      </w:pPr>
      <w:r>
        <w:rPr>
          <w:rFonts w:ascii="Consolas" w:hAnsi="Consolas" w:eastAsia="等线"/>
          <w:b w:val="0"/>
          <w:color w:val="263645"/>
          <w:sz w:val="16"/>
        </w:rPr>
        <w:t>PostgreSQL/PostGIS = 业务与事务真值</w:t>
        <w:br/>
        <w:t>Standards Platform = 标准、审定、发布与回滚权威</w:t>
        <w:br/>
        <w:t>RDF/SHACL Platform = 形式语义、互操作和推理投影</w:t>
        <w:br/>
        <w:t>Operational Ontology Service = Object/Action/Function/Interface/Policy</w:t>
        <w:br/>
        <w:t>Cognitive Runtime = 规划、证据、HITL、评价与恢复</w:t>
        <w:br/>
        <w:t>Capability Plane = SQL/PostGIS/ArcPy/TWM/MCP 真实执行</w:t>
        <w:br/>
        <w:t>Kafka/Outbox = 权威变更到投影的传播</w:t>
        <w:br/>
        <w:t>Search/Vector/Graph = 可重建读投影</w:t>
      </w:r>
    </w:p>
    <w:p>
      <w:pPr>
        <w:spacing w:line="300" w:lineRule="auto" w:after="100"/>
        <w:ind w:firstLine="420"/>
      </w:pPr>
      <w:r>
        <w:rPr>
          <w:rFonts w:ascii="Times New Roman" w:hAnsi="Times New Roman" w:eastAsia="宋体"/>
          <w:sz w:val="21"/>
        </w:rPr>
        <w:t>不应 RDF 化全国级地块、遥感栅格、点云、轨迹和高频传感记录。RDF 中保存数据集、图层、FeatureType、规则、空间适用范围、对象引用和必要简化几何；批量几何、拓扑、栅格和模型推演继续由 PostGIS、GeoParquet/COG、对象存储、ArcPy 与 TWM 处理。</w:t>
      </w:r>
    </w:p>
    <w:p>
      <w:pPr>
        <w:pStyle w:val="Heading1"/>
      </w:pPr>
      <w:r>
        <w:rPr>
          <w:rFonts w:ascii="Times New Roman" w:hAnsi="Times New Roman" w:eastAsia="宋体"/>
          <w:sz w:val="30"/>
        </w:rPr>
        <w:t>7. 多存储一致性</w:t>
      </w:r>
    </w:p>
    <w:p>
      <w:pPr>
        <w:spacing w:line="300" w:lineRule="auto" w:after="100"/>
        <w:ind w:firstLine="420"/>
      </w:pPr>
      <w:r>
        <w:rPr>
          <w:rFonts w:ascii="Times New Roman" w:hAnsi="Times New Roman" w:eastAsia="宋体"/>
          <w:sz w:val="21"/>
        </w:rPr>
        <w:t>重型架构只允许一个领域事实写入口。建议采用以下一致性协议：</w:t>
      </w:r>
    </w:p>
    <w:p>
      <w:pPr>
        <w:ind w:left="454" w:hanging="312"/>
      </w:pPr>
      <w:r>
        <w:rPr>
          <w:rFonts w:ascii="Times New Roman" w:hAnsi="Times New Roman" w:eastAsia="宋体"/>
          <w:sz w:val="21"/>
        </w:rPr>
        <w:t>1. 权威事务同时写业务表/Model Registry 和 Transactional Outbox；</w:t>
      </w:r>
    </w:p>
    <w:p>
      <w:pPr>
        <w:ind w:left="454" w:hanging="312"/>
      </w:pPr>
      <w:r>
        <w:rPr>
          <w:rFonts w:ascii="Times New Roman" w:hAnsi="Times New Roman" w:eastAsia="宋体"/>
          <w:sz w:val="21"/>
        </w:rPr>
        <w:t>2. 事件携带 tenant、namespace、package version、content hash、sequence 和 schema version；</w:t>
      </w:r>
    </w:p>
    <w:p>
      <w:pPr>
        <w:ind w:left="454" w:hanging="312"/>
      </w:pPr>
      <w:r>
        <w:rPr>
          <w:rFonts w:ascii="Times New Roman" w:hAnsi="Times New Roman" w:eastAsia="宋体"/>
          <w:sz w:val="21"/>
        </w:rPr>
        <w:t>3. 投影消费者幂等写入 RDF、图、搜索和向量读模型；</w:t>
      </w:r>
    </w:p>
    <w:p>
      <w:pPr>
        <w:ind w:left="454" w:hanging="312"/>
      </w:pPr>
      <w:r>
        <w:rPr>
          <w:rFonts w:ascii="Times New Roman" w:hAnsi="Times New Roman" w:eastAsia="宋体"/>
          <w:sz w:val="21"/>
        </w:rPr>
        <w:t>4. Reconciler 定期比较 authority hash、projection hash、checkpoint 和 lag；</w:t>
      </w:r>
    </w:p>
    <w:p>
      <w:pPr>
        <w:ind w:left="454" w:hanging="312"/>
      </w:pPr>
      <w:r>
        <w:rPr>
          <w:rFonts w:ascii="Times New Roman" w:hAnsi="Times New Roman" w:eastAsia="宋体"/>
          <w:sz w:val="21"/>
        </w:rPr>
        <w:t>5. 不一致时阻断新版本激活、降级到固定 OntologyPackage，并触发重建；</w:t>
      </w:r>
    </w:p>
    <w:p>
      <w:pPr>
        <w:ind w:left="454" w:hanging="312"/>
      </w:pPr>
      <w:r>
        <w:rPr>
          <w:rFonts w:ascii="Times New Roman" w:hAnsi="Times New Roman" w:eastAsia="宋体"/>
          <w:sz w:val="21"/>
        </w:rPr>
        <w:t>6. 历史 Runtime 继续使用创建时锁定的 package/version，不静默切换。</w:t>
      </w:r>
    </w:p>
    <w:p>
      <w:pPr>
        <w:spacing w:line="300" w:lineRule="auto" w:after="100"/>
        <w:ind w:firstLine="420"/>
      </w:pPr>
      <w:r>
        <w:rPr>
          <w:rFonts w:ascii="Times New Roman" w:hAnsi="Times New Roman" w:eastAsia="宋体"/>
          <w:sz w:val="21"/>
        </w:rPr>
        <w:t>跨存储不追求分布式强事务。生产正确性来自单一权威写源、版本锁定、可重放事件、hash 对账、幂等投影和明确降级，而不是让多个数据库互相双向同步。</w:t>
      </w:r>
    </w:p>
    <w:p>
      <w:pPr>
        <w:pStyle w:val="Heading1"/>
      </w:pPr>
      <w:r>
        <w:rPr>
          <w:rFonts w:ascii="Times New Roman" w:hAnsi="Times New Roman" w:eastAsia="宋体"/>
          <w:sz w:val="30"/>
        </w:rPr>
        <w:t>8. 查询网关与运行时协议</w:t>
      </w:r>
    </w:p>
    <w:p>
      <w:pPr>
        <w:spacing w:line="300" w:lineRule="auto" w:after="100"/>
        <w:ind w:firstLine="420"/>
      </w:pPr>
      <w:r>
        <w:rPr>
          <w:rFonts w:ascii="Times New Roman" w:hAnsi="Times New Roman" w:eastAsia="宋体"/>
          <w:sz w:val="21"/>
        </w:rPr>
        <w:t xml:space="preserve">网关输入至少包含 </w:t>
      </w:r>
      <w:r>
        <w:rPr>
          <w:rFonts w:ascii="Consolas" w:hAnsi="Consolas" w:eastAsia="等线"/>
          <w:b w:val="0"/>
          <w:color w:val="7A2E2E"/>
          <w:sz w:val="18"/>
        </w:rPr>
        <w:t>RuntimeIdentity</w:t>
      </w:r>
      <w:r>
        <w:rPr>
          <w:rFonts w:ascii="Times New Roman" w:hAnsi="Times New Roman" w:eastAsia="宋体"/>
          <w:sz w:val="21"/>
        </w:rPr>
        <w:t>、tenant、ontology version、时间/地域范围、业务目的、允许的数据和知识范围、查询预算和期望 Evidence schema。执行步骤为：</w:t>
      </w:r>
    </w:p>
    <w:p>
      <w:pPr>
        <w:spacing w:before="60" w:after="120"/>
        <w:ind w:left="283" w:right="170"/>
        <w:shd w:fill="F2F4F6"/>
      </w:pPr>
      <w:r>
        <w:rPr>
          <w:rFonts w:ascii="Consolas" w:hAnsi="Consolas" w:eastAsia="等线"/>
          <w:b w:val="0"/>
          <w:color w:val="263645"/>
          <w:sz w:val="16"/>
        </w:rPr>
        <w:t>身份与策略预判</w:t>
        <w:br/>
        <w:t>→ 固定 ontology/object/action 版本</w:t>
        <w:br/>
        <w:t>→ query planning（SQL / SPARQL / graph / search / spatial）</w:t>
        <w:br/>
        <w:t>→ 各后端权限下推</w:t>
        <w:br/>
        <w:t>→ 结果融合、来源保留和冲突检测</w:t>
        <w:br/>
        <w:t>→ EvidenceBundle / ObjectInstanceRef / Action candidates</w:t>
        <w:br/>
        <w:t>→ 二次策略判定与审计</w:t>
      </w:r>
    </w:p>
    <w:p>
      <w:pPr>
        <w:spacing w:line="300" w:lineRule="auto" w:after="100"/>
        <w:ind w:firstLine="420"/>
      </w:pPr>
      <w:r>
        <w:rPr>
          <w:rFonts w:ascii="Times New Roman" w:hAnsi="Times New Roman" w:eastAsia="宋体"/>
          <w:sz w:val="21"/>
        </w:rPr>
        <w:t>LLM 可以把自然语言转成候选查询或帮助消歧，但最终查询必须经过 schema、allowlist、复杂度、超时、结果规模和权限校验。SPARQL federation 不得成为绕过租户隔离和属性脱敏的旁路。</w:t>
      </w:r>
    </w:p>
    <w:p>
      <w:pPr>
        <w:pStyle w:val="Heading1"/>
      </w:pPr>
      <w:r>
        <w:rPr>
          <w:rFonts w:ascii="Times New Roman" w:hAnsi="Times New Roman" w:eastAsia="宋体"/>
          <w:sz w:val="30"/>
        </w:rPr>
        <w:t>9. 动态安全架构</w:t>
      </w:r>
    </w:p>
    <w:p>
      <w:pPr>
        <w:spacing w:line="300" w:lineRule="auto" w:after="100"/>
        <w:ind w:firstLine="420"/>
      </w:pPr>
      <w:r>
        <w:rPr>
          <w:rFonts w:ascii="Times New Roman" w:hAnsi="Times New Roman" w:eastAsia="宋体"/>
          <w:sz w:val="21"/>
        </w:rPr>
        <w:t>策略决策点与执行点必须下沉到：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Ontology 概念和关系的发现；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Object/Property/Link 的读取和遍历；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Action 的发现、规划、审批和执行；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Query Gateway 的后端选择和字段裁剪；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EvidenceBundle、向量文本、模型上下文和缓存；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ChangeSet、ActionResult、产物和审计记录。</w:t>
      </w:r>
    </w:p>
    <w:p>
      <w:pPr>
        <w:spacing w:line="300" w:lineRule="auto" w:after="100"/>
        <w:ind w:firstLine="420"/>
      </w:pPr>
      <w:r>
        <w:rPr>
          <w:rFonts w:ascii="Times New Roman" w:hAnsi="Times New Roman" w:eastAsia="宋体"/>
          <w:sz w:val="21"/>
        </w:rPr>
        <w:t xml:space="preserve">OPA、Cedar 或现有 PostgreSQL/代码策略均可作为候选，最终选型为 </w:t>
      </w:r>
      <w:r>
        <w:rPr>
          <w:rFonts w:ascii="Consolas" w:hAnsi="Consolas" w:eastAsia="等线"/>
          <w:b w:val="0"/>
          <w:color w:val="7A2E2E"/>
          <w:sz w:val="18"/>
        </w:rPr>
        <w:t>needs-owner-input</w:t>
      </w:r>
      <w:r>
        <w:rPr>
          <w:rFonts w:ascii="Times New Roman" w:hAnsi="Times New Roman" w:eastAsia="宋体"/>
          <w:sz w:val="21"/>
        </w:rPr>
        <w:t>。ADR 必须用真实的对象级、属性级、关系级、跨租户、历史版本和批量 Action 基准比较策略表达力、决策延迟、调试性、变更治理和故障降级。</w:t>
      </w:r>
    </w:p>
    <w:p>
      <w:pPr>
        <w:pStyle w:val="Heading1"/>
      </w:pPr>
      <w:r>
        <w:rPr>
          <w:rFonts w:ascii="Times New Roman" w:hAnsi="Times New Roman" w:eastAsia="宋体"/>
          <w:sz w:val="30"/>
        </w:rPr>
        <w:t>10. Ontology CI/CD 与发布治理</w:t>
      </w:r>
    </w:p>
    <w:p>
      <w:pPr>
        <w:spacing w:line="300" w:lineRule="auto" w:after="100"/>
        <w:ind w:firstLine="420"/>
      </w:pPr>
      <w:r>
        <w:rPr>
          <w:rFonts w:ascii="Times New Roman" w:hAnsi="Times New Roman" w:eastAsia="宋体"/>
          <w:sz w:val="21"/>
        </w:rPr>
        <w:t>发布流水线至少包含：</w:t>
      </w:r>
    </w:p>
    <w:p>
      <w:pPr>
        <w:spacing w:before="60" w:after="120"/>
        <w:ind w:left="283" w:right="170"/>
        <w:shd w:fill="F2F4F6"/>
      </w:pPr>
      <w:r>
        <w:rPr>
          <w:rFonts w:ascii="Consolas" w:hAnsi="Consolas" w:eastAsia="等线"/>
          <w:b w:val="0"/>
          <w:color w:val="263645"/>
          <w:sz w:val="16"/>
        </w:rPr>
        <w:t>authoring branch</w:t>
        <w:br/>
        <w:t>→ parse / lint</w:t>
        <w:br/>
        <w:t>→ SHACL and schema validation</w:t>
        <w:br/>
        <w:t>→ URI / namespace / provenance checks</w:t>
        <w:br/>
        <w:t>→ compatibility and impact analysis</w:t>
        <w:br/>
        <w:t>→ security regression</w:t>
        <w:br/>
        <w:t>→ competency-query regression</w:t>
        <w:br/>
        <w:t>→ reasoning consistency</w:t>
        <w:br/>
        <w:t>→ review and signed package</w:t>
        <w:br/>
        <w:t>→ shadow projection</w:t>
        <w:br/>
        <w:t>→ canary readers / applications</w:t>
        <w:br/>
        <w:t>→ activate</w:t>
        <w:br/>
        <w:t>→ monitor / rollback</w:t>
      </w:r>
    </w:p>
    <w:p>
      <w:pPr>
        <w:spacing w:line="300" w:lineRule="auto" w:after="100"/>
        <w:ind w:firstLine="420"/>
      </w:pPr>
      <w:r>
        <w:rPr>
          <w:rFonts w:ascii="Times New Roman" w:hAnsi="Times New Roman" w:eastAsia="宋体"/>
          <w:sz w:val="21"/>
        </w:rPr>
        <w:t>删除概念、属性、关系或 Action 前必须检查 SDK、应用、TaskGraph、MCP、历史重放和外部映射依赖。破坏性变更发布 major version；对象状态迁移与本体发布分开执行，不能用 ontology activation 隐式批量修改业务对象。</w:t>
      </w:r>
    </w:p>
    <w:p>
      <w:pPr>
        <w:pStyle w:val="Heading1"/>
      </w:pPr>
      <w:r>
        <w:rPr>
          <w:rFonts w:ascii="Times New Roman" w:hAnsi="Times New Roman" w:eastAsia="宋体"/>
          <w:sz w:val="30"/>
        </w:rPr>
        <w:t>11. 生产部署拓扑</w:t>
      </w:r>
    </w:p>
    <w:p>
      <w:pPr>
        <w:spacing w:line="300" w:lineRule="auto" w:after="100"/>
        <w:ind w:firstLine="420"/>
      </w:pPr>
      <w:r>
        <w:rPr>
          <w:rFonts w:ascii="Times New Roman" w:hAnsi="Times New Roman" w:eastAsia="宋体"/>
          <w:sz w:val="21"/>
        </w:rPr>
        <w:t>推荐至少划分 dev、staging 和 prod 三套 namespace/环境。生产环境逻辑部署包括：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2 个以上无状态 Model Registry / Query Gateway / Object &amp; Action Service 副本；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RDF/OWL/SHACL 集群或托管服务，采用读写角色和蓝绿索引；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Operational Graph、Search/Vector 投影按真实负载选配；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Kafka/Redpanda、Schema Registry、DLQ 和投影 Worker；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PostgreSQL/PostGIS 高可用、PITR、只读副本和独立备份；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OTel Collector、指标、日志、Trace、审计归档和告警；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KMS/Secrets、包签名、mTLS、NetworkPolicy 和租户隔离；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定期 restore drill、projection rebuild drill 和 ontology rollback drill。</w:t>
      </w:r>
    </w:p>
    <w:p>
      <w:pPr>
        <w:spacing w:line="300" w:lineRule="auto" w:after="100"/>
        <w:ind w:firstLine="420"/>
      </w:pPr>
      <w:r>
        <w:rPr>
          <w:rFonts w:ascii="Times New Roman" w:hAnsi="Times New Roman" w:eastAsia="宋体"/>
          <w:sz w:val="21"/>
        </w:rPr>
        <w:t xml:space="preserve">副本数、吞吐、p95/p99、RPO/RTO、保留期和跨地域拓扑为 </w:t>
      </w:r>
      <w:r>
        <w:rPr>
          <w:rFonts w:ascii="Consolas" w:hAnsi="Consolas" w:eastAsia="等线"/>
          <w:b w:val="0"/>
          <w:color w:val="7A2E2E"/>
          <w:sz w:val="18"/>
        </w:rPr>
        <w:t>needs-owner-input</w:t>
      </w:r>
      <w:r>
        <w:rPr>
          <w:rFonts w:ascii="Times New Roman" w:hAnsi="Times New Roman" w:eastAsia="宋体"/>
          <w:sz w:val="21"/>
        </w:rPr>
        <w:t>，需要用 Stage H0 容量模型和业务等级确定，不能在当前设计阶段虚构。</w:t>
      </w:r>
    </w:p>
    <w:p>
      <w:pPr>
        <w:pStyle w:val="Heading1"/>
      </w:pPr>
      <w:r>
        <w:rPr>
          <w:rFonts w:ascii="Times New Roman" w:hAnsi="Times New Roman" w:eastAsia="宋体"/>
          <w:sz w:val="30"/>
        </w:rPr>
        <w:t>12. 技术选型</w:t>
      </w:r>
    </w:p>
    <w:p>
      <w:pPr>
        <w:pStyle w:val="Heading2"/>
      </w:pPr>
      <w:r>
        <w:rPr>
          <w:rFonts w:ascii="Times New Roman" w:hAnsi="Times New Roman" w:eastAsia="宋体"/>
          <w:sz w:val="26"/>
        </w:rPr>
        <w:t>12.1 RDF/语义平台候选</w:t>
      </w:r>
    </w:p>
    <w:p>
      <w:pPr>
        <w:spacing w:before="40" w:after="160"/>
        <w:jc w:val="center"/>
      </w:pPr>
      <w:r>
        <w:rPr>
          <w:rFonts w:ascii="Times New Roman" w:hAnsi="Times New Roman" w:eastAsia="宋体"/>
          <w:b w:val="0"/>
          <w:i/>
          <w:color w:val="4D5B66"/>
          <w:sz w:val="19"/>
        </w:rPr>
        <w:t>表 3  RDF 与语义平台候选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tblHeader w:val="true"/>
        </w:trP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8E8F3"/>
          </w:tcPr>
          <w:p>
            <w:pPr>
              <w:spacing w:after="0" w:line="252" w:lineRule="auto"/>
            </w:pPr>
            <w:r>
              <w:rPr>
                <w:b/>
                <w:color w:val="17324D"/>
              </w:rPr>
            </w:r>
            <w:r>
              <w:rPr>
                <w:rFonts w:ascii="Times New Roman" w:hAnsi="Times New Roman" w:eastAsia="宋体"/>
                <w:b/>
                <w:color w:val="17324D"/>
                <w:sz w:val="18"/>
              </w:rPr>
              <w:t>路线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8E8F3"/>
          </w:tcPr>
          <w:p>
            <w:pPr>
              <w:spacing w:after="0" w:line="252" w:lineRule="auto"/>
            </w:pPr>
            <w:r>
              <w:rPr>
                <w:b/>
                <w:color w:val="17324D"/>
              </w:rPr>
            </w:r>
            <w:r>
              <w:rPr>
                <w:rFonts w:ascii="Times New Roman" w:hAnsi="Times New Roman" w:eastAsia="宋体"/>
                <w:b/>
                <w:color w:val="17324D"/>
                <w:sz w:val="18"/>
              </w:rPr>
              <w:t>候选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8E8F3"/>
          </w:tcPr>
          <w:p>
            <w:pPr>
              <w:spacing w:after="0" w:line="252" w:lineRule="auto"/>
            </w:pPr>
            <w:r>
              <w:rPr>
                <w:b/>
                <w:color w:val="17324D"/>
              </w:rPr>
            </w:r>
            <w:r>
              <w:rPr>
                <w:rFonts w:ascii="Times New Roman" w:hAnsi="Times New Roman" w:eastAsia="宋体"/>
                <w:b/>
                <w:color w:val="17324D"/>
                <w:sz w:val="18"/>
              </w:rPr>
              <w:t>适用判断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企业产品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Stardog、GraphDB Enterprise、TopBraid EDG、AWS Neptune、Cambridge Semantics Anzo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需要厂商支持、治理 UI、联邦查询、企业安全或托管运维时进入 PoC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开源平台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Apache Jena Fuseki/TDB2、Eclipse RDF4J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有内部语义平台团队、希望开放标准和自主部署时优先评估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构建/验证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RDFLib + pySHACL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适合 CI、离线编译和 Stage 2，不单独承担大型生产服务</w:t>
            </w:r>
          </w:p>
        </w:tc>
      </w:tr>
    </w:tbl>
    <w:p>
      <w:pPr>
        <w:spacing w:after="20"/>
      </w:pPr>
    </w:p>
    <w:p>
      <w:pPr>
        <w:spacing w:line="300" w:lineRule="auto" w:after="100"/>
        <w:ind w:firstLine="420"/>
      </w:pPr>
      <w:r>
        <w:rPr>
          <w:rFonts w:ascii="Times New Roman" w:hAnsi="Times New Roman" w:eastAsia="宋体"/>
          <w:sz w:val="21"/>
        </w:rPr>
        <w:t>首选不是一个固定产品，而是两阶段决策：先以 RDFLib/pySHACL 验证模型、Shape、数据量和 competency questions，再让 Fuseki/RDF4J 与 1–2 个企业候选在同一数据集、策略和故障场景上对比。</w:t>
      </w:r>
    </w:p>
    <w:p>
      <w:pPr>
        <w:pStyle w:val="Heading2"/>
      </w:pPr>
      <w:r>
        <w:rPr>
          <w:rFonts w:ascii="Times New Roman" w:hAnsi="Times New Roman" w:eastAsia="宋体"/>
          <w:sz w:val="26"/>
        </w:rPr>
        <w:t>12.2 其他组件</w:t>
      </w:r>
    </w:p>
    <w:p>
      <w:pPr>
        <w:spacing w:before="40" w:after="160"/>
        <w:jc w:val="center"/>
      </w:pPr>
      <w:r>
        <w:rPr>
          <w:rFonts w:ascii="Times New Roman" w:hAnsi="Times New Roman" w:eastAsia="宋体"/>
          <w:b w:val="0"/>
          <w:i/>
          <w:color w:val="4D5B66"/>
          <w:sz w:val="19"/>
        </w:rPr>
        <w:t>表 4  重型平台其他组件候选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tblHeader w:val="true"/>
        </w:trP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8E8F3"/>
          </w:tcPr>
          <w:p>
            <w:pPr>
              <w:spacing w:after="0" w:line="252" w:lineRule="auto"/>
            </w:pPr>
            <w:r>
              <w:rPr>
                <w:b/>
                <w:color w:val="17324D"/>
              </w:rPr>
            </w:r>
            <w:r>
              <w:rPr>
                <w:rFonts w:ascii="Times New Roman" w:hAnsi="Times New Roman" w:eastAsia="宋体"/>
                <w:b/>
                <w:color w:val="17324D"/>
                <w:sz w:val="18"/>
              </w:rPr>
              <w:t>能力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8E8F3"/>
          </w:tcPr>
          <w:p>
            <w:pPr>
              <w:spacing w:after="0" w:line="252" w:lineRule="auto"/>
            </w:pPr>
            <w:r>
              <w:rPr>
                <w:b/>
                <w:color w:val="17324D"/>
              </w:rPr>
            </w:r>
            <w:r>
              <w:rPr>
                <w:rFonts w:ascii="Times New Roman" w:hAnsi="Times New Roman" w:eastAsia="宋体"/>
                <w:b/>
                <w:color w:val="17324D"/>
                <w:sz w:val="18"/>
              </w:rPr>
              <w:t>推荐候选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8E8F3"/>
          </w:tcPr>
          <w:p>
            <w:pPr>
              <w:spacing w:after="0" w:line="252" w:lineRule="auto"/>
            </w:pPr>
            <w:r>
              <w:rPr>
                <w:b/>
                <w:color w:val="17324D"/>
              </w:rPr>
            </w:r>
            <w:r>
              <w:rPr>
                <w:rFonts w:ascii="Times New Roman" w:hAnsi="Times New Roman" w:eastAsia="宋体"/>
                <w:b/>
                <w:color w:val="17324D"/>
                <w:sz w:val="18"/>
              </w:rPr>
              <w:t>决策门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事件流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Kafka 或 Redpanda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现有运维能力、吞吐、重放、生态和总成本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策略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OPA、Cedar、现有 Policy Adapter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对象/属性/关系/Action 表达力与 p99 决策延迟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Operational Graph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PostgreSQL/ltree 起步；Neo4j、AGE 或企业图服务条件引入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多跳/图算法负载在代表性基准中胜出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Search/Vector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PostgreSQL FTS/pgvector 起步；OpenSearch/Qdrant 条件引入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规模、召回、更新延迟或隔离要求超过现有方案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SDK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Pydantic/JSON Schema/OpenAPI + 代码生成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Python/TypeScript/MCP/A2A 契约兼容性和可维护性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Times New Roman" w:hAnsi="Times New Roman" w:eastAsia="宋体"/>
          <w:sz w:val="30"/>
        </w:rPr>
        <w:t>13. 团队与运营要求</w:t>
      </w:r>
    </w:p>
    <w:p>
      <w:pPr>
        <w:spacing w:line="300" w:lineRule="auto" w:after="100"/>
        <w:ind w:firstLine="420"/>
      </w:pPr>
      <w:r>
        <w:rPr>
          <w:rFonts w:ascii="Times New Roman" w:hAnsi="Times New Roman" w:eastAsia="宋体"/>
          <w:sz w:val="21"/>
        </w:rPr>
        <w:t>重型平台最低需要明确以下责任，而不是仅增加中间件：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领域/标准 owner：定义业务含义、适用性和审定规则；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Ontology engineer：SKOS/OWL/SHACL、URI、映射和 competency questions；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Platform engineer：Registry、Gateway、投影、事件和 SDK；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Security engineer：对象/属性/关系/Action 策略和审计；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Data/GIS engineer：PostGIS、ArcPy、空间数据边界和 lineage；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SRE：HA、DR、容量、升级、恢复和事故响应；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Product/application owner：证明 Ontology 对真实工作流的价值。</w:t>
      </w:r>
    </w:p>
    <w:p>
      <w:pPr>
        <w:spacing w:line="300" w:lineRule="auto" w:after="100"/>
        <w:ind w:firstLine="420"/>
      </w:pPr>
      <w:r>
        <w:rPr>
          <w:rFonts w:ascii="Times New Roman" w:hAnsi="Times New Roman" w:eastAsia="宋体"/>
          <w:sz w:val="21"/>
        </w:rPr>
        <w:t xml:space="preserve">具体人数、值班机制和预算为 </w:t>
      </w:r>
      <w:r>
        <w:rPr>
          <w:rFonts w:ascii="Consolas" w:hAnsi="Consolas" w:eastAsia="等线"/>
          <w:b w:val="0"/>
          <w:color w:val="7A2E2E"/>
          <w:sz w:val="18"/>
        </w:rPr>
        <w:t>needs-owner-input</w:t>
      </w:r>
      <w:r>
        <w:rPr>
          <w:rFonts w:ascii="Times New Roman" w:hAnsi="Times New Roman" w:eastAsia="宋体"/>
          <w:sz w:val="21"/>
        </w:rPr>
        <w:t>。如果无法长期承担上述职责，就不具备启动重型路线的组织条件。</w:t>
      </w:r>
    </w:p>
    <w:p>
      <w:pPr>
        <w:pStyle w:val="Heading1"/>
      </w:pPr>
      <w:r>
        <w:rPr>
          <w:rFonts w:ascii="Times New Roman" w:hAnsi="Times New Roman" w:eastAsia="宋体"/>
          <w:sz w:val="30"/>
        </w:rPr>
        <w:t>14. 成本、风险与控制</w:t>
      </w:r>
    </w:p>
    <w:p>
      <w:pPr>
        <w:spacing w:before="40" w:after="160"/>
        <w:jc w:val="center"/>
      </w:pPr>
      <w:r>
        <w:rPr>
          <w:rFonts w:ascii="Times New Roman" w:hAnsi="Times New Roman" w:eastAsia="宋体"/>
          <w:b w:val="0"/>
          <w:i/>
          <w:color w:val="4D5B66"/>
          <w:sz w:val="19"/>
        </w:rPr>
        <w:t>表 5  主要风险、生产后果与控制原则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tblHeader w:val="true"/>
        </w:trP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8E8F3"/>
          </w:tcPr>
          <w:p>
            <w:pPr>
              <w:spacing w:after="0" w:line="252" w:lineRule="auto"/>
            </w:pPr>
            <w:r>
              <w:rPr>
                <w:b/>
                <w:color w:val="17324D"/>
              </w:rPr>
            </w:r>
            <w:r>
              <w:rPr>
                <w:rFonts w:ascii="Times New Roman" w:hAnsi="Times New Roman" w:eastAsia="宋体"/>
                <w:b/>
                <w:color w:val="17324D"/>
                <w:sz w:val="18"/>
              </w:rPr>
              <w:t>风险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8E8F3"/>
          </w:tcPr>
          <w:p>
            <w:pPr>
              <w:spacing w:after="0" w:line="252" w:lineRule="auto"/>
            </w:pPr>
            <w:r>
              <w:rPr>
                <w:b/>
                <w:color w:val="17324D"/>
              </w:rPr>
            </w:r>
            <w:r>
              <w:rPr>
                <w:rFonts w:ascii="Times New Roman" w:hAnsi="Times New Roman" w:eastAsia="宋体"/>
                <w:b/>
                <w:color w:val="17324D"/>
                <w:sz w:val="18"/>
              </w:rPr>
              <w:t>生产后果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8E8F3"/>
          </w:tcPr>
          <w:p>
            <w:pPr>
              <w:spacing w:after="0" w:line="252" w:lineRule="auto"/>
            </w:pPr>
            <w:r>
              <w:rPr>
                <w:b/>
                <w:color w:val="17324D"/>
              </w:rPr>
            </w:r>
            <w:r>
              <w:rPr>
                <w:rFonts w:ascii="Times New Roman" w:hAnsi="Times New Roman" w:eastAsia="宋体"/>
                <w:b/>
                <w:color w:val="17324D"/>
                <w:sz w:val="18"/>
              </w:rPr>
              <w:t>控制原则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多真值源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同一对象/规则在不同库中结果不一致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单一权威写源；其他存储只读投影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推理复杂度失控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查询超时、不可解释或结果爆炸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OWL 2 RL 子集、有界遍历、离线物化、query budget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RDF 化过度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空间数据成本和延迟不可接受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RDF 保存语义与引用，空间计算留在 PostGIS/ArcPy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模型治理脱离业务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本体漂亮但不能改善任务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competency questions + 端到端治理 KPI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动态安全旁路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AI 上下文或联邦查询越权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策略下推、结果二次判定、隔离缓存和红队集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平台团队不足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版本漂移、恢复失败、长期停更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组织准入门、SRE runbook、恢复演练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厂商锁定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迁移困难和成本不可控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开放 RDF/SHACL/JSON-LD、导出测试、Adapter 边界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Times New Roman" w:hAnsi="Times New Roman" w:eastAsia="宋体"/>
          <w:sz w:val="30"/>
        </w:rPr>
        <w:t>15. 分阶段落地路线</w:t>
      </w:r>
    </w:p>
    <w:p>
      <w:pPr>
        <w:pStyle w:val="Heading2"/>
      </w:pPr>
      <w:r>
        <w:rPr>
          <w:rFonts w:ascii="Times New Roman" w:hAnsi="Times New Roman" w:eastAsia="宋体"/>
          <w:sz w:val="26"/>
        </w:rPr>
        <w:t>H0：业务与架构准入门</w:t>
      </w:r>
    </w:p>
    <w:p>
      <w:pPr>
        <w:spacing w:line="300" w:lineRule="auto" w:after="100"/>
        <w:ind w:firstLine="420"/>
      </w:pPr>
      <w:r>
        <w:rPr>
          <w:rFonts w:ascii="Times New Roman" w:hAnsi="Times New Roman" w:eastAsia="宋体"/>
          <w:sz w:val="21"/>
        </w:rPr>
        <w:t>建立 30–50 个 competency questions、跨组织/跨版本/空间适用性场景、对象安全用例、容量模型、SLO 候选和三年 TCO。退出门是证明轻量 Stage 1/2 存在无法合理解决的稳定需求。</w:t>
      </w:r>
    </w:p>
    <w:p>
      <w:pPr>
        <w:pStyle w:val="Heading2"/>
      </w:pPr>
      <w:r>
        <w:rPr>
          <w:rFonts w:ascii="Times New Roman" w:hAnsi="Times New Roman" w:eastAsia="宋体"/>
          <w:sz w:val="26"/>
        </w:rPr>
        <w:t>H1：治理与 Canonical Model Registry</w:t>
      </w:r>
    </w:p>
    <w:p>
      <w:pPr>
        <w:spacing w:line="300" w:lineRule="auto" w:after="100"/>
        <w:ind w:firstLine="420"/>
      </w:pPr>
      <w:r>
        <w:rPr>
          <w:rFonts w:ascii="Times New Roman" w:hAnsi="Times New Roman" w:eastAsia="宋体"/>
          <w:sz w:val="21"/>
        </w:rPr>
        <w:t>建设命名空间、模型版本、来源、ACL、review、diff、impact 和签名包；仍不引入多种在线图服务。退出门是模型发布、回滚和历史重放可审计。</w:t>
      </w:r>
    </w:p>
    <w:p>
      <w:pPr>
        <w:pStyle w:val="Heading2"/>
      </w:pPr>
      <w:r>
        <w:rPr>
          <w:rFonts w:ascii="Times New Roman" w:hAnsi="Times New Roman" w:eastAsia="宋体"/>
          <w:sz w:val="26"/>
        </w:rPr>
        <w:t>H2：RDF/SHACL 构建与验证</w:t>
      </w:r>
    </w:p>
    <w:p>
      <w:pPr>
        <w:spacing w:line="300" w:lineRule="auto" w:after="100"/>
        <w:ind w:firstLine="420"/>
      </w:pPr>
      <w:r>
        <w:rPr>
          <w:rFonts w:ascii="Times New Roman" w:hAnsi="Times New Roman" w:eastAsia="宋体"/>
          <w:sz w:val="21"/>
        </w:rPr>
        <w:t>把发布包编译为 SKOS/PROV-O/必要 GeoSPARQL/OWL-Time 和 SHACL；用 RDFLib/pySHACL 完成 CI、互操作和受限 OWL 2 RL 实验。退出门是 JSON Package 与 RDF 投影一致，Shape/推理可追溯。</w:t>
      </w:r>
    </w:p>
    <w:p>
      <w:pPr>
        <w:pStyle w:val="Heading2"/>
      </w:pPr>
      <w:r>
        <w:rPr>
          <w:rFonts w:ascii="Times New Roman" w:hAnsi="Times New Roman" w:eastAsia="宋体"/>
          <w:sz w:val="26"/>
        </w:rPr>
        <w:t>H3：Semantic Query Gateway 与策略联邦</w:t>
      </w:r>
    </w:p>
    <w:p>
      <w:pPr>
        <w:spacing w:line="300" w:lineRule="auto" w:after="100"/>
        <w:ind w:firstLine="420"/>
      </w:pPr>
      <w:r>
        <w:rPr>
          <w:rFonts w:ascii="Times New Roman" w:hAnsi="Times New Roman" w:eastAsia="宋体"/>
          <w:sz w:val="21"/>
        </w:rPr>
        <w:t>通过同一网关组合 SQL、SPARQL、图、搜索和空间查询，并完成权限下推、预算、缓存隔离和 EvidenceBundle。只有 SLO/互操作门通过才部署专用 RDF 服务。</w:t>
      </w:r>
    </w:p>
    <w:p>
      <w:pPr>
        <w:pStyle w:val="Heading2"/>
      </w:pPr>
      <w:r>
        <w:rPr>
          <w:rFonts w:ascii="Times New Roman" w:hAnsi="Times New Roman" w:eastAsia="宋体"/>
          <w:sz w:val="26"/>
        </w:rPr>
        <w:t>H4：Operational Object &amp; Action Service</w:t>
      </w:r>
    </w:p>
    <w:p>
      <w:pPr>
        <w:spacing w:line="300" w:lineRule="auto" w:after="100"/>
        <w:ind w:firstLine="420"/>
      </w:pPr>
      <w:r>
        <w:rPr>
          <w:rFonts w:ascii="Times New Roman" w:hAnsi="Times New Roman" w:eastAsia="宋体"/>
          <w:sz w:val="21"/>
        </w:rPr>
        <w:t>发布 Object/Property/Link/Action/Function/Interface、typed SDK、ChangeSet/ActionResult、审批和写回闭环；先覆盖一个标准治理场景。</w:t>
      </w:r>
    </w:p>
    <w:p>
      <w:pPr>
        <w:pStyle w:val="Heading2"/>
      </w:pPr>
      <w:r>
        <w:rPr>
          <w:rFonts w:ascii="Times New Roman" w:hAnsi="Times New Roman" w:eastAsia="宋体"/>
          <w:sz w:val="26"/>
        </w:rPr>
        <w:t>H5：多投影与一致性工程</w:t>
      </w:r>
    </w:p>
    <w:p>
      <w:pPr>
        <w:spacing w:line="300" w:lineRule="auto" w:after="100"/>
        <w:ind w:firstLine="420"/>
      </w:pPr>
      <w:r>
        <w:rPr>
          <w:rFonts w:ascii="Times New Roman" w:hAnsi="Times New Roman" w:eastAsia="宋体"/>
          <w:sz w:val="21"/>
        </w:rPr>
        <w:t>引入 Kafka/Redpanda、Outbox、Reconciler、蓝绿投影、重建、DLQ 和一致性告警。退出门是故障注入后可自动降级、重放和对账。</w:t>
      </w:r>
    </w:p>
    <w:p>
      <w:pPr>
        <w:pStyle w:val="Heading2"/>
      </w:pPr>
      <w:r>
        <w:rPr>
          <w:rFonts w:ascii="Times New Roman" w:hAnsi="Times New Roman" w:eastAsia="宋体"/>
          <w:sz w:val="26"/>
        </w:rPr>
        <w:t>H6：生产韧性与发布治理</w:t>
      </w:r>
    </w:p>
    <w:p>
      <w:pPr>
        <w:spacing w:line="300" w:lineRule="auto" w:after="100"/>
        <w:ind w:firstLine="420"/>
      </w:pPr>
      <w:r>
        <w:rPr>
          <w:rFonts w:ascii="Times New Roman" w:hAnsi="Times New Roman" w:eastAsia="宋体"/>
          <w:sz w:val="21"/>
        </w:rPr>
        <w:t>完成 HA、DR、备份恢复、SLO、容量、OTel、包签名、SDK 兼容性和 ontology/action release governance。</w:t>
      </w:r>
    </w:p>
    <w:p>
      <w:pPr>
        <w:pStyle w:val="Heading2"/>
      </w:pPr>
      <w:r>
        <w:rPr>
          <w:rFonts w:ascii="Times New Roman" w:hAnsi="Times New Roman" w:eastAsia="宋体"/>
          <w:sz w:val="26"/>
        </w:rPr>
        <w:t>H7：跨组织联邦</w:t>
      </w:r>
    </w:p>
    <w:p>
      <w:pPr>
        <w:spacing w:line="300" w:lineRule="auto" w:after="100"/>
        <w:ind w:firstLine="420"/>
      </w:pPr>
      <w:r>
        <w:rPr>
          <w:rFonts w:ascii="Times New Roman" w:hAnsi="Times New Roman" w:eastAsia="宋体"/>
          <w:sz w:val="21"/>
        </w:rPr>
        <w:t>建设签名 namespace、外部映射注册表、冲突协商、MCP/A2A 交换和多组织治理。它是业务驱动的远期阶段，不是默认终点。</w:t>
      </w:r>
    </w:p>
    <w:p>
      <w:pPr>
        <w:pStyle w:val="Heading1"/>
      </w:pPr>
      <w:r>
        <w:rPr>
          <w:rFonts w:ascii="Times New Roman" w:hAnsi="Times New Roman" w:eastAsia="宋体"/>
          <w:sz w:val="30"/>
        </w:rPr>
        <w:t>16. 准入标准与最终建议</w:t>
      </w:r>
    </w:p>
    <w:p>
      <w:pPr>
        <w:spacing w:line="300" w:lineRule="auto" w:after="100"/>
        <w:ind w:firstLine="420"/>
      </w:pPr>
      <w:r>
        <w:rPr>
          <w:rFonts w:ascii="Times New Roman" w:hAnsi="Times New Roman" w:eastAsia="宋体"/>
          <w:sz w:val="21"/>
        </w:rPr>
        <w:t>满足下列任意一项还不够，建议至少有两项持续成立并完成 H0 证明后再启动 H1：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多组织需要共享 RDF/JSON-LD 语义并执行稳定 SPARQL/联邦查询；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复杂 SHACL 或有界 OWL 2 RL 推理成为法规、标准或审计刚需；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多个独立应用必须围绕统一 Object/Action/SDK 工作；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对象、属性、关系和 Action 的动态安全已超出当前策略层承载能力；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Ontology 需要独立 dev/staging/prod、版本节奏、影响分析和发布组织；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轻量 PostgreSQL/Package 路线在已确认的精度、延迟、规模或互操作 SLO 上失败。</w:t>
      </w:r>
    </w:p>
    <w:p>
      <w:pPr>
        <w:spacing w:line="300" w:lineRule="auto" w:after="100"/>
        <w:ind w:firstLine="420"/>
      </w:pPr>
      <w:r>
        <w:rPr>
          <w:rFonts w:ascii="Times New Roman" w:hAnsi="Times New Roman" w:eastAsia="宋体"/>
          <w:sz w:val="21"/>
        </w:rPr>
        <w:t xml:space="preserve">最终判断：重型本体架构是合理且可落地的企业目标，但不是 GIS Data Agent 当前阶段的默认答案。当前最科学的选择是保留它作为 </w:t>
      </w:r>
      <w:r>
        <w:rPr>
          <w:rFonts w:ascii="Times New Roman" w:hAnsi="Times New Roman" w:eastAsia="宋体"/>
          <w:b/>
          <w:sz w:val="21"/>
        </w:rPr>
        <w:t>条件路线</w:t>
      </w:r>
      <w:r>
        <w:rPr>
          <w:rFonts w:ascii="Times New Roman" w:hAnsi="Times New Roman" w:eastAsia="宋体"/>
          <w:sz w:val="21"/>
        </w:rPr>
        <w:t>：先用轻量本体和 Cognitive Runtime 证明数据标准能够改善真实规划、执行和评价，再让生产证据决定是否支付重型平台的长期成本。</w:t>
      </w:r>
    </w:p>
    <w:p>
      <w:pPr>
        <w:pStyle w:val="Heading1"/>
      </w:pPr>
      <w:r>
        <w:rPr>
          <w:rFonts w:ascii="Times New Roman" w:hAnsi="Times New Roman" w:eastAsia="宋体"/>
          <w:sz w:val="30"/>
        </w:rPr>
        <w:t>17. 证据与限制</w:t>
      </w:r>
    </w:p>
    <w:p>
      <w:pPr>
        <w:spacing w:line="300" w:lineRule="auto" w:after="100"/>
        <w:ind w:firstLine="420"/>
      </w:pPr>
      <w:r>
        <w:rPr>
          <w:rFonts w:ascii="Times New Roman" w:hAnsi="Times New Roman" w:eastAsia="宋体"/>
          <w:sz w:val="21"/>
        </w:rPr>
        <w:t xml:space="preserve">本报告基于 Cognitive Runtime V1.3、当前 Standards/ontology/runtime/deployment 代码审计、Palantir 客观对比报告及用户确认的重型架构问题。当前仓库未发现专用 RDF/SHACL/Fuseki、OPA/Cedar、Kafka/Redpanda Ontology Platform 的生产实现，因此本报告描述的是条件目标架构，不是当前能力声明。产品版本、供应商采购、SLO、RPO/RTO、容量和团队编制均为 </w:t>
      </w:r>
      <w:r>
        <w:rPr>
          <w:rFonts w:ascii="Consolas" w:hAnsi="Consolas" w:eastAsia="等线"/>
          <w:b w:val="0"/>
          <w:color w:val="7A2E2E"/>
          <w:sz w:val="18"/>
        </w:rPr>
        <w:t>needs-owner-input</w:t>
      </w:r>
      <w:r>
        <w:rPr>
          <w:rFonts w:ascii="Times New Roman" w:hAnsi="Times New Roman" w:eastAsia="宋体"/>
          <w:sz w:val="21"/>
        </w:rPr>
        <w:t>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sz w:val="18"/>
      </w:rPr>
      <w:t xml:space="preserve">第 </w:t>
    </w:r>
    <w:r>
      <w:fldChar w:fldCharType="begin"/>
      <w:instrText xml:space="preserve">PAGE</w:instrText>
      <w:fldChar w:fldCharType="separate"/>
      <w:t>1</w:t>
      <w:fldChar w:fldCharType="end"/>
    </w:r>
    <w:r>
      <w:rPr>
        <w:rFonts w:ascii="Times New Roman" w:hAnsi="Times New Roman" w:eastAsia="宋体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Times New Roman" w:hAnsi="Times New Roman" w:eastAsia="宋体"/>
        <w:b w:val="0"/>
        <w:color w:val="6B737B"/>
        <w:sz w:val="17"/>
      </w:rPr>
      <w:t>GIS Data Agent 重型本体生产架构分析与技术选型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00"/>
    </w:pPr>
    <w:rPr>
      <w:rFonts w:ascii="Times New Roman" w:hAnsi="Times New Roman" w:eastAsia="宋体"/>
      <w:b w:val="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Arial" w:hAnsi="Arial" w:eastAsia="黑体"/>
      <w:b/>
      <w:bCs/>
      <w:color w:val="17324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rial" w:hAnsi="Arial" w:eastAsia="黑体"/>
      <w:b/>
      <w:bCs/>
      <w:color w:val="2F6B9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Arial" w:hAnsi="Arial" w:eastAsia="黑体"/>
      <w:b/>
      <w:bCs/>
      <w:color w:val="365A7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200"/>
      <w:contextualSpacing/>
    </w:pPr>
    <w:rPr>
      <w:rFonts w:asciiTheme="majorHAnsi" w:eastAsiaTheme="majorEastAsia" w:hAnsiTheme="majorHAnsi" w:cstheme="majorBidi" w:ascii="Arial" w:hAnsi="Arial" w:eastAsia="黑体"/>
      <w:b/>
      <w:color w:val="17324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GIS Data Agent 重型本体生产架构分析与技术选型</dc:title>
  <dc:subject>Enterprise Semantic and Operational Ontology Platform 条件目标设计</dc:subject>
  <dc:creator>GIS Data Agent Architecture</dc:creator>
  <cp:keywords>GIS Data Agent, Ontology, RDF, OWL, SHACL, Operational Ontology, Cognitive Runtime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