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基于冻结基础模型嵌入与轻量潜空间动力学的</w:t>
        <w:br/>
        <w:t>地理空间世界模型</w:t>
      </w:r>
    </w:p>
    <w:p>
      <w:pPr>
        <w:jc w:val="center"/>
      </w:pPr>
      <w:r>
        <w:rPr>
          <w:sz w:val="24"/>
        </w:rPr>
        <w:t>周宁，景翔*</w:t>
      </w:r>
    </w:p>
    <w:p>
      <w:pPr>
        <w:jc w:val="center"/>
      </w:pPr>
      <w:r>
        <w:rPr>
          <w:sz w:val="20"/>
        </w:rPr>
        <w:t>北京大学软件与微电子学院，北京 100871</w:t>
      </w:r>
    </w:p>
    <w:p>
      <w:pPr>
        <w:jc w:val="center"/>
      </w:pPr>
      <w:r>
        <w:rPr>
          <w:sz w:val="20"/>
        </w:rPr>
        <w:t>*通讯作者。电子邮件: jingxiang@pku.edu.cn</w:t>
      </w:r>
    </w:p>
    <w:p>
      <w:pPr>
        <w:jc w:val="center"/>
      </w:pPr>
      <w:r>
        <w:rPr>
          <w:sz w:val="20"/>
        </w:rPr>
        <w:t>目标期刊: International Journal of Geographical Information Science (IJGIS)</w:t>
      </w:r>
    </w:p>
    <w:p>
      <w:r>
        <w:rPr>
          <w:b/>
          <w:sz w:val="28"/>
        </w:rPr>
        <w:t>摘要</w:t>
      </w:r>
    </w:p>
    <w:p>
      <w:r>
        <w:rPr>
          <w:sz w:val="22"/>
        </w:rPr>
        <w:t>预测土地利用/覆盖（LULC）变化是地理信息科学的核心问题，然而现有方法要么在离散类别地图上操作（CA-Markov、ConvLSTM），要么需要计算代价极高的像素级生成模型（EarthPT、DiffusionSat）。本文提出了一种地理空间世界模型，遵循联合嵌入预测架构（JEPA）范式，完全在学习到的嵌入空间中预测LULC变化。我们的方法将冻结的地理空间基础模型——Google AlphaEarth Foundations（480M+参数）——作为固定编码器产生64维逐像素嵌入向量，与轻量级LatentDynamicsNet（459K参数）相结合，后者通过自回归展开学习该嵌入空间中的残差状态转移。我们引入三个关键技术贡献：（1）每步自回归后显式L2重归一化以防止单位超球面上的流形漂移；（2）空洞卷积（膨胀率1、2、4）将感受野从50 m扩展到170 m以捕捉宏观尺度的土地利用驱动因素；（3）带衰减权重的多步展开训练损失以缓解长时域预测中的暴露偏差。正式的消融实验证实三个组件均不可或缺：移除L2归一化使训练集优势下降62%，移除空洞卷积使变化像素优势下降32%，移除展开损失导致验证集转负。实验涵盖中国17个研究区域（12个训练、2个验证、1个测试、2个域外），每个区域每年500个采样点，覆盖2017-2024年，与两个基线（持续性和线性外推）对比评估。在12个训练区域上，模型与真实值的平均余弦相似度达到0.9575，超越持续性基线（0.9460），全部12个区域均优于基线（平均+0.014）。关键发现：在实际发生土地利用变化的像素（嵌入位移前20%）上，模型优势放大至+0.030至+0.108。验证集显示正向优势（+0.002），域外退化仅为-0.012。多步展开在训练区域可维持6步自回归高于基线的预测质量。这些结果表明，冻结的基础模型嵌入为地理空间世界建模提供了可行的状态空间，以少于可比模型三个数量级的参数量实现了有意义的动力学学习。</w:t>
      </w:r>
    </w:p>
    <w:p>
      <w:r>
        <w:rPr>
          <w:b/>
          <w:sz w:val="20"/>
        </w:rPr>
        <w:t>关键词: 地理空间世界模型; JEPA; 基础模型嵌入; 土地利用变化预测; 潜空间动力学; AlphaEarth</w:t>
      </w:r>
    </w:p>
    <w:p>
      <w:r>
        <w:rPr>
          <w:b/>
          <w:sz w:val="28"/>
        </w:rPr>
        <w:t>1. 引言</w:t>
      </w:r>
    </w:p>
    <w:p>
      <w:r>
        <w:rPr>
          <w:sz w:val="22"/>
        </w:rPr>
        <w:t>预测地表随时间的变化是地理信息科学的核心问题，在城市规划、农业政策、生态保护和气候适应方面有直接应用。传统方法——元胞自动机-马尔可夫链（CA-Markov）、CLUE-S和逻辑回归——在分类土地利用地图上操作，依赖于手工标定的转移概率和社会经济驱动因子。虽然在受限场景中有效，但这些方法无法捕捉现代卫星观测中丰富的、连续的光谱-空间-时间信息。</w:t>
      </w:r>
    </w:p>
    <w:p>
      <w:r>
        <w:rPr>
          <w:sz w:val="22"/>
        </w:rPr>
        <w:t>深度学习的最新进展引入了更强大的替代方案。卷积递归架构（ConvLSTM）可以从分类影像序列中学习时空模式。EarthPT是一个7亿参数的自回归Transformer，在像素级预测光谱反射率。DiffusionSat使用条件扩散模型生成未来卫星影像。然而，所有这些方法都在原始观测空间（光谱波段或分类像素）中操作，存在两个根本局限：（1）高维像素空间中的预测计算代价高且易产生幻觉伪影；（2）像素级预测将语义有意义的变化与无关噪声混为一谈。</w:t>
      </w:r>
    </w:p>
    <w:p>
      <w:r>
        <w:rPr>
          <w:sz w:val="22"/>
        </w:rPr>
        <w:t>在更广泛的AI领域，世界模型概念——一个在压缩潜空间中预测环境状态转移的学习系统——已成为规划和推理的强大范式。由Ha和Schmidhuber（2018）开创，经Dreamer V3（Hafner等，2023）和MuZero（Schrittwieser等，2020）推进，世界模型将感知（将观测编码为潜状态）与动力学（预测潜状态转移）分离。LeCun的JEPA框架（2022）将这一原则形式化：在表征空间中预测，而非像素空间。</w:t>
      </w:r>
    </w:p>
    <w:p>
      <w:r>
        <w:rPr>
          <w:sz w:val="22"/>
        </w:rPr>
        <w:t>与此同时，地理空间基础模型（GeoFM）使地球表面的预训练高质量表征变得免费可用。AlphaEarth Foundations（Brown等，2025）在Google Earth Engine上为地球每个陆地像素提供10 m分辨率、64维、L2归一化的嵌入向量，年度覆盖2017-2024年。这些嵌入已被证明具有物理可解释性（Rahman，2026），并可通过线性分类器以&gt;83%精度解码为土地覆盖类别。</w:t>
      </w:r>
    </w:p>
    <w:p>
      <w:r>
        <w:rPr>
          <w:sz w:val="22"/>
        </w:rPr>
        <w:t>本文桥接了这两个发展方向：我们将GeoFM嵌入作为地理空间世界模型的状态空间。核心洞察是：如果基础模型已经学会将卫星观测压缩为语义有意义的、随时间变化的嵌入，那么土地利用变化的动力学可以在这些冻结嵌入之上用轻量级神经网络学习——无需重新训练基础模型，也无需生成像素级预测。这精确对应于JEPA架构：基础模型是编码器；小型LatentDynamicsNet是预测器。</w:t>
      </w:r>
    </w:p>
    <w:p>
      <w:r>
        <w:rPr>
          <w:sz w:val="22"/>
        </w:rPr>
        <w:t>据我们所知，这是首次将冻结的地理空间基础模型嵌入与学习到的动力学模型相结合，用于自回归土地利用变化预测。我们的贡献：</w:t>
      </w:r>
    </w:p>
    <w:p>
      <w:pPr>
        <w:pStyle w:val="ListNumber"/>
      </w:pPr>
      <w:r>
        <w:t>（1）将地理空间世界建模建模为冻结GeoFM嵌入空间中的残差动力学学习，通过三阶段验证流程证明其可行性。</w:t>
      </w:r>
    </w:p>
    <w:p>
      <w:pPr>
        <w:pStyle w:val="ListNumber"/>
      </w:pPr>
      <w:r>
        <w:t>（2）设计LatentDynamicsNet——459K参数的空洞卷积网络，具备L2流形保持、情景条件和地形上下文输入，以EarthPT千分之一的参数量实现有意义的预测。</w:t>
      </w:r>
    </w:p>
    <w:p>
      <w:pPr>
        <w:pStyle w:val="ListNumber"/>
      </w:pPr>
      <w:r>
        <w:t>（3）引入多步展开训练损失以对抗暴露偏差，将有效预测窗口从3年扩展到5年以上。</w:t>
      </w:r>
    </w:p>
    <w:p>
      <w:pPr>
        <w:pStyle w:val="ListNumber"/>
      </w:pPr>
      <w:r>
        <w:t>（4）在17个中国研究区域上进行严格的训练/验证/测试/OOD分割实验，对比两个基线，并提出新的变化像素评估协议。</w:t>
      </w:r>
    </w:p>
    <w:p>
      <w:r>
        <w:rPr>
          <w:b/>
          <w:sz w:val="28"/>
        </w:rPr>
        <w:t>2. 相关工作</w:t>
      </w:r>
    </w:p>
    <w:p>
      <w:r>
        <w:rPr>
          <w:b/>
          <w:sz w:val="24"/>
        </w:rPr>
        <w:t>2.1 LULC变化预测</w:t>
      </w:r>
    </w:p>
    <w:p>
      <w:r>
        <w:rPr>
          <w:sz w:val="22"/>
        </w:rPr>
        <w:t>LULC变化预测已从统计模型发展到深度学习方法。CA-Markov结合元胞自动机邻域规则与马尔可夫链转移矩阵。CLUE-S融合逻辑回归与社会经济驱动因子。Themeda（Turnbull等，2025）使用ConvLSTM和33年数据，达到93.4%像素级精度。TAMMs（Guo等，2025）统一了时序变化描述与未来卫星影像生成。</w:t>
      </w:r>
    </w:p>
    <w:p>
      <w:r>
        <w:rPr>
          <w:b/>
          <w:sz w:val="24"/>
        </w:rPr>
        <w:t>2.2 对地观测基础模型</w:t>
      </w:r>
    </w:p>
    <w:p>
      <w:r>
        <w:rPr>
          <w:sz w:val="22"/>
        </w:rPr>
        <w:t>GeoFM快速发展。Prithvi-EO-2.0提供多时相嵌入用于分类任务。SatMAE使用带时间位置编码的掩码自编码器。AlphaEarth Foundations以其年度分辨率、全球可用、64维、10 m分辨率的嵌入向量脱颖而出，具有经验证的物理可解释性（Rahman，2026；Benavides-Martinez等，2026）。</w:t>
      </w:r>
    </w:p>
    <w:p>
      <w:r>
        <w:rPr>
          <w:b/>
          <w:sz w:val="24"/>
        </w:rPr>
        <w:t>2.3 世界模型与JEPA</w:t>
      </w:r>
    </w:p>
    <w:p>
      <w:r>
        <w:rPr>
          <w:sz w:val="22"/>
        </w:rPr>
        <w:t>世界模型起源于强化学习：Ha和Schmidhuber（2018）学习压缩的环境动力学用于策略训练。Dreamer V3（Hafner等，2023）使用循环状态空间模型达到人类水平。LeCun的JEPA（2022）形式化了在表征空间中预测的原则。AnySat（Astruc等，2024）将JEPA应用于遥感，但用于空间掩码预测而非时间动力学。</w:t>
      </w:r>
    </w:p>
    <w:p>
      <w:r>
        <w:rPr>
          <w:b/>
          <w:sz w:val="24"/>
        </w:rPr>
        <w:t>2.4 最接近的已有工作</w:t>
      </w:r>
    </w:p>
    <w:p>
      <w:r>
        <w:rPr>
          <w:sz w:val="22"/>
        </w:rPr>
        <w:t>MM-VSF（2024）预测未来卫星嵌入但自训练编码器。EarthPT（Smith等，2023）用7亿参数在原始光谱空间做自回归预测。PDFM+TimesFM（Google，2024）用地理空间嵌入预测社会经济变量。我们的方法首次在冻结GeoFM嵌入之上学习自回归动力学。</w:t>
      </w:r>
    </w:p>
    <w:p>
      <w:r>
        <w:rPr>
          <w:b/>
          <w:sz w:val="28"/>
        </w:rPr>
        <w:t>3. 研究区域与数据</w:t>
      </w:r>
    </w:p>
    <w:p>
      <w:r>
        <w:rPr>
          <w:sz w:val="22"/>
        </w:rPr>
        <w:t>我们选取中国17个研究区域，覆盖四种主要土地类型，采用严格的四分法：</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8"/>
              </w:rPr>
              <w:t>分组</w:t>
            </w:r>
          </w:p>
        </w:tc>
        <w:tc>
          <w:tcPr>
            <w:tcW w:type="dxa" w:w="2351"/>
          </w:tcPr>
          <w:p>
            <w:r>
              <w:rPr>
                <w:b/>
                <w:sz w:val="18"/>
              </w:rPr>
              <w:t>数量</w:t>
            </w:r>
          </w:p>
        </w:tc>
        <w:tc>
          <w:tcPr>
            <w:tcW w:type="dxa" w:w="2351"/>
          </w:tcPr>
          <w:p>
            <w:r>
              <w:rPr>
                <w:b/>
                <w:sz w:val="18"/>
              </w:rPr>
              <w:t>区域</w:t>
            </w:r>
          </w:p>
        </w:tc>
        <w:tc>
          <w:tcPr>
            <w:tcW w:type="dxa" w:w="2351"/>
          </w:tcPr>
          <w:p>
            <w:r>
              <w:rPr>
                <w:b/>
                <w:sz w:val="18"/>
              </w:rPr>
              <w:t>类型</w:t>
            </w:r>
          </w:p>
        </w:tc>
      </w:tr>
      <w:tr>
        <w:tc>
          <w:tcPr>
            <w:tcW w:type="dxa" w:w="2351"/>
          </w:tcPr>
          <w:p>
            <w:r>
              <w:rPr>
                <w:sz w:val="18"/>
              </w:rPr>
              <w:t>训练集</w:t>
            </w:r>
          </w:p>
        </w:tc>
        <w:tc>
          <w:tcPr>
            <w:tcW w:type="dxa" w:w="2351"/>
          </w:tcPr>
          <w:p>
            <w:r>
              <w:rPr>
                <w:sz w:val="18"/>
              </w:rPr>
              <w:t>12</w:t>
            </w:r>
          </w:p>
        </w:tc>
        <w:tc>
          <w:tcPr>
            <w:tcW w:type="dxa" w:w="2351"/>
          </w:tcPr>
          <w:p>
            <w:r>
              <w:rPr>
                <w:sz w:val="18"/>
              </w:rPr>
              <w:t>长三角、京津冀、成都平原、东北平原、华北平原、江汉平原、河套、云南、大兴安岭、青海边缘、关中、闽南</w:t>
            </w:r>
          </w:p>
        </w:tc>
        <w:tc>
          <w:tcPr>
            <w:tcW w:type="dxa" w:w="2351"/>
          </w:tcPr>
          <w:p>
            <w:r>
              <w:rPr>
                <w:sz w:val="18"/>
              </w:rPr>
              <w:t>城市/农业/生态/混合</w:t>
            </w:r>
          </w:p>
        </w:tc>
      </w:tr>
      <w:tr>
        <w:tc>
          <w:tcPr>
            <w:tcW w:type="dxa" w:w="2351"/>
          </w:tcPr>
          <w:p>
            <w:r>
              <w:rPr>
                <w:sz w:val="18"/>
              </w:rPr>
              <w:t>验证集</w:t>
            </w:r>
          </w:p>
        </w:tc>
        <w:tc>
          <w:tcPr>
            <w:tcW w:type="dxa" w:w="2351"/>
          </w:tcPr>
          <w:p>
            <w:r>
              <w:rPr>
                <w:sz w:val="18"/>
              </w:rPr>
              <w:t>2</w:t>
            </w:r>
          </w:p>
        </w:tc>
        <w:tc>
          <w:tcPr>
            <w:tcW w:type="dxa" w:w="2351"/>
          </w:tcPr>
          <w:p>
            <w:r>
              <w:rPr>
                <w:sz w:val="18"/>
              </w:rPr>
              <w:t>珠三角、鄱阳湖</w:t>
            </w:r>
          </w:p>
        </w:tc>
        <w:tc>
          <w:tcPr>
            <w:tcW w:type="dxa" w:w="2351"/>
          </w:tcPr>
          <w:p>
            <w:r>
              <w:rPr>
                <w:sz w:val="18"/>
              </w:rPr>
              <w:t>城市/湿地</w:t>
            </w:r>
          </w:p>
        </w:tc>
      </w:tr>
      <w:tr>
        <w:tc>
          <w:tcPr>
            <w:tcW w:type="dxa" w:w="2351"/>
          </w:tcPr>
          <w:p>
            <w:r>
              <w:rPr>
                <w:sz w:val="18"/>
              </w:rPr>
              <w:t>测试集</w:t>
            </w:r>
          </w:p>
        </w:tc>
        <w:tc>
          <w:tcPr>
            <w:tcW w:type="dxa" w:w="2351"/>
          </w:tcPr>
          <w:p>
            <w:r>
              <w:rPr>
                <w:sz w:val="18"/>
              </w:rPr>
              <w:t>1</w:t>
            </w:r>
          </w:p>
        </w:tc>
        <w:tc>
          <w:tcPr>
            <w:tcW w:type="dxa" w:w="2351"/>
          </w:tcPr>
          <w:p>
            <w:r>
              <w:rPr>
                <w:sz w:val="18"/>
              </w:rPr>
              <w:t>武夷山</w:t>
            </w:r>
          </w:p>
        </w:tc>
        <w:tc>
          <w:tcPr>
            <w:tcW w:type="dxa" w:w="2351"/>
          </w:tcPr>
          <w:p>
            <w:r>
              <w:rPr>
                <w:sz w:val="18"/>
              </w:rPr>
              <w:t>森林</w:t>
            </w:r>
          </w:p>
        </w:tc>
      </w:tr>
      <w:tr>
        <w:tc>
          <w:tcPr>
            <w:tcW w:type="dxa" w:w="2351"/>
          </w:tcPr>
          <w:p>
            <w:r>
              <w:rPr>
                <w:sz w:val="18"/>
              </w:rPr>
              <w:t>域外集</w:t>
            </w:r>
          </w:p>
        </w:tc>
        <w:tc>
          <w:tcPr>
            <w:tcW w:type="dxa" w:w="2351"/>
          </w:tcPr>
          <w:p>
            <w:r>
              <w:rPr>
                <w:sz w:val="18"/>
              </w:rPr>
              <w:t>2</w:t>
            </w:r>
          </w:p>
        </w:tc>
        <w:tc>
          <w:tcPr>
            <w:tcW w:type="dxa" w:w="2351"/>
          </w:tcPr>
          <w:p>
            <w:r>
              <w:rPr>
                <w:sz w:val="18"/>
              </w:rPr>
              <w:t>三峡水库、拉萨河谷</w:t>
            </w:r>
          </w:p>
        </w:tc>
        <w:tc>
          <w:tcPr>
            <w:tcW w:type="dxa" w:w="2351"/>
          </w:tcPr>
          <w:p>
            <w:r>
              <w:rPr>
                <w:sz w:val="18"/>
              </w:rPr>
              <w:t>混合/高原</w:t>
            </w:r>
          </w:p>
        </w:tc>
      </w:tr>
    </w:tbl>
    <w:p>
      <w:r>
        <w:rPr>
          <w:sz w:val="22"/>
        </w:rPr>
        <w:t>数据来源：AlphaEarth嵌入（GOOGLE/SATELLITE_EMBEDDING/V1/ANNUAL，64维，10 m，2017-2024），ESRI Global LULC 10m TS用于解码器标签，SRTM 30m DEM用于地形上下文。每个区域每年采样500个随机点（seed=42），缓存为.npy文件确保可复现性。</w:t>
      </w:r>
    </w:p>
    <w:p>
      <w:r>
        <w:rPr>
          <w:b/>
          <w:sz w:val="28"/>
        </w:rPr>
        <w:t>4. 方法</w:t>
      </w:r>
    </w:p>
    <w:p>
      <w:r>
        <w:rPr>
          <w:b/>
          <w:sz w:val="24"/>
        </w:rPr>
        <w:t>4.1 架构概述</w:t>
      </w:r>
    </w:p>
    <w:p>
      <w:r>
        <w:rPr>
          <w:sz w:val="22"/>
        </w:rPr>
        <w:t>系统采用两层JEPA架构（见图1）：第1层（冻结编码器）：AlphaEarth Foundations（480M+参数）将卫星观测映射为64维单位向量，此层从不训练。第2层（学习动力学）：LatentDynamicsNet（459K参数）根据当前嵌入、情景编码和地形上下文预测下一年的嵌入。</w:t>
      </w:r>
    </w:p>
    <w:p>
      <w:pPr>
        <w:jc w:val="center"/>
      </w:pPr>
      <w:r>
        <w:drawing>
          <wp:inline xmlns:a="http://schemas.openxmlformats.org/drawingml/2006/main" xmlns:pic="http://schemas.openxmlformats.org/drawingml/2006/picture">
            <wp:extent cx="5400000" cy="3612917"/>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00000" cy="3612917"/>
                    </a:xfrm>
                    <a:prstGeom prst="rect"/>
                  </pic:spPr>
                </pic:pic>
              </a:graphicData>
            </a:graphic>
          </wp:inline>
        </w:drawing>
      </w:r>
    </w:p>
    <w:p>
      <w:pPr>
        <w:jc w:val="center"/>
      </w:pPr>
      <w:r>
        <w:rPr>
          <w:i/>
          <w:sz w:val="18"/>
        </w:rPr>
        <w:t>图1. 遵循JEPA范式的地理空间世界模型架构。第1层（冻结）为AlphaEarth基础模型编码器，将卫星观测映射为64维单位向量嵌入。第2层（学习）为LatentDynamicsNet，在嵌入空间中预测残差状态转移，每步后进行显式L2重归一化。虚线箭头表示多步展开时的自回归反馈环路。线性探测解码器仅用于LULC可视化，不参与动力学预测。</w:t>
      </w:r>
    </w:p>
    <w:p>
      <w:r>
        <w:rPr>
          <w:b/>
          <w:sz w:val="24"/>
        </w:rPr>
        <w:t>4.2 LatentDynamicsNet</w:t>
      </w:r>
    </w:p>
    <w:p>
      <w:r>
        <w:rPr>
          <w:sz w:val="22"/>
        </w:rPr>
        <w:t>动力学模型预测残差变化：z_{t+1} = normalize(z_t + f(concat[z_t, s(sigma), c]))，其中z_t为64维嵌入，s为情景编码器（Linear 16-&gt;64-&gt;64），c为地形上下文（2通道：DEM高程+坡度）。动力学函数f使用空洞卷积，膨胀率[1, 2, 4]，将感受野从5x5（50 m）扩展到17x17（170 m）。架构：DilConv3x3(d=1, 130-&gt;128) + GN + GELU -&gt; DilConv3x3(d=2, 128-&gt;128) + GN + GELU -&gt; DilConv3x3(d=4, 128-&gt;128) + GN + GELU -&gt; Conv1x1(128-&gt;64)。总参数：459K。</w:t>
      </w:r>
    </w:p>
    <w:p>
      <w:r>
        <w:rPr>
          <w:b/>
          <w:sz w:val="24"/>
        </w:rPr>
        <w:t>4.3 L2流形保持</w:t>
      </w:r>
    </w:p>
    <w:p>
      <w:r>
        <w:rPr>
          <w:sz w:val="22"/>
        </w:rPr>
        <w:t>AlphaEarth嵌入是64维单位超球面上的L2归一化向量。残差相加z + delta_z破坏单位范数约束。我们在每步后强制重归一化：z_{t+1} = (z_t + f(z_t,s,c)) / ||z_t + f(z_t,s,c)||_2。实验验证：20步自回归后，所有像素向量范数保持1.0（误差&lt;10^-5）。</w:t>
      </w:r>
    </w:p>
    <w:p>
      <w:r>
        <w:rPr>
          <w:b/>
          <w:sz w:val="24"/>
        </w:rPr>
        <w:t>4.4 多步展开训练</w:t>
      </w:r>
    </w:p>
    <w:p>
      <w:r>
        <w:rPr>
          <w:sz w:val="22"/>
        </w:rPr>
        <w:t>标准单步训练（教师强制）产生暴露偏差。我们展开K=3步，使用衰减权重：L = sum_{k=1}^{K} (1/2^{k-1}) * ||z_hat_{t+k} - z_{t+k}||^2。每步使用模型自身预测作为输入，减少训练-推理不匹配。</w:t>
      </w:r>
    </w:p>
    <w:p>
      <w:r>
        <w:rPr>
          <w:b/>
          <w:sz w:val="24"/>
        </w:rPr>
        <w:t>4.5 情景编码与地形上下文</w:t>
      </w:r>
    </w:p>
    <w:p>
      <w:r>
        <w:rPr>
          <w:sz w:val="22"/>
        </w:rPr>
        <w:t>五种情景（城市蔓延、生态修复、农业集约化、气候适应、基线趋势）编码为16维向量（5维one-hot + 11维保留）。地形上下文：DEM高程（归一化到[0,1]）+坡度（除以45度归一化），提供空间异质性条件。</w:t>
      </w:r>
    </w:p>
    <w:p>
      <w:r>
        <w:rPr>
          <w:b/>
          <w:sz w:val="28"/>
        </w:rPr>
        <w:t>5. 结果</w:t>
      </w:r>
    </w:p>
    <w:p>
      <w:r>
        <w:rPr>
          <w:b/>
          <w:sz w:val="24"/>
        </w:rPr>
        <w:t>5.1 阶段0：嵌入可行性验证</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8"/>
              </w:rPr>
              <w:t>指标</w:t>
            </w:r>
          </w:p>
        </w:tc>
        <w:tc>
          <w:tcPr>
            <w:tcW w:type="dxa" w:w="2351"/>
          </w:tcPr>
          <w:p>
            <w:r>
              <w:rPr>
                <w:b/>
                <w:sz w:val="18"/>
              </w:rPr>
              <w:t>阈值（通过/强通过）</w:t>
            </w:r>
          </w:p>
        </w:tc>
        <w:tc>
          <w:tcPr>
            <w:tcW w:type="dxa" w:w="2351"/>
          </w:tcPr>
          <w:p>
            <w:r>
              <w:rPr>
                <w:b/>
                <w:sz w:val="18"/>
              </w:rPr>
              <w:t>结果</w:t>
            </w:r>
          </w:p>
        </w:tc>
        <w:tc>
          <w:tcPr>
            <w:tcW w:type="dxa" w:w="2351"/>
          </w:tcPr>
          <w:p>
            <w:r>
              <w:rPr>
                <w:b/>
                <w:sz w:val="18"/>
              </w:rPr>
              <w:t>判定</w:t>
            </w:r>
          </w:p>
        </w:tc>
      </w:tr>
      <w:tr>
        <w:tc>
          <w:tcPr>
            <w:tcW w:type="dxa" w:w="2351"/>
          </w:tcPr>
          <w:p>
            <w:r>
              <w:rPr>
                <w:sz w:val="18"/>
              </w:rPr>
              <w:t>年际余弦相似度</w:t>
            </w:r>
          </w:p>
        </w:tc>
        <w:tc>
          <w:tcPr>
            <w:tcW w:type="dxa" w:w="2351"/>
          </w:tcPr>
          <w:p>
            <w:r>
              <w:rPr>
                <w:sz w:val="18"/>
              </w:rPr>
              <w:t>&lt; 0.99 / &lt; 0.95</w:t>
            </w:r>
          </w:p>
        </w:tc>
        <w:tc>
          <w:tcPr>
            <w:tcW w:type="dxa" w:w="2351"/>
          </w:tcPr>
          <w:p>
            <w:r>
              <w:rPr>
                <w:sz w:val="18"/>
              </w:rPr>
              <w:t>0.953</w:t>
            </w:r>
          </w:p>
        </w:tc>
        <w:tc>
          <w:tcPr>
            <w:tcW w:type="dxa" w:w="2351"/>
          </w:tcPr>
          <w:p>
            <w:r>
              <w:rPr>
                <w:sz w:val="18"/>
              </w:rPr>
              <w:t>通过</w:t>
            </w:r>
          </w:p>
        </w:tc>
      </w:tr>
      <w:tr>
        <w:tc>
          <w:tcPr>
            <w:tcW w:type="dxa" w:w="2351"/>
          </w:tcPr>
          <w:p>
            <w:r>
              <w:rPr>
                <w:sz w:val="18"/>
              </w:rPr>
              <w:t>变化/稳定分离度</w:t>
            </w:r>
          </w:p>
        </w:tc>
        <w:tc>
          <w:tcPr>
            <w:tcW w:type="dxa" w:w="2351"/>
          </w:tcPr>
          <w:p>
            <w:r>
              <w:rPr>
                <w:sz w:val="18"/>
              </w:rPr>
              <w:t>&gt; 2x / &gt; 5x</w:t>
            </w:r>
          </w:p>
        </w:tc>
        <w:tc>
          <w:tcPr>
            <w:tcW w:type="dxa" w:w="2351"/>
          </w:tcPr>
          <w:p>
            <w:r>
              <w:rPr>
                <w:sz w:val="18"/>
              </w:rPr>
              <w:t>2.44x</w:t>
            </w:r>
          </w:p>
        </w:tc>
        <w:tc>
          <w:tcPr>
            <w:tcW w:type="dxa" w:w="2351"/>
          </w:tcPr>
          <w:p>
            <w:r>
              <w:rPr>
                <w:sz w:val="18"/>
              </w:rPr>
              <w:t>通过</w:t>
            </w:r>
          </w:p>
        </w:tc>
      </w:tr>
      <w:tr>
        <w:tc>
          <w:tcPr>
            <w:tcW w:type="dxa" w:w="2351"/>
          </w:tcPr>
          <w:p>
            <w:r>
              <w:rPr>
                <w:sz w:val="18"/>
              </w:rPr>
              <w:t>线性解码精度</w:t>
            </w:r>
          </w:p>
        </w:tc>
        <w:tc>
          <w:tcPr>
            <w:tcW w:type="dxa" w:w="2351"/>
          </w:tcPr>
          <w:p>
            <w:r>
              <w:rPr>
                <w:sz w:val="18"/>
              </w:rPr>
              <w:t>&gt; 50% / &gt; 70%</w:t>
            </w:r>
          </w:p>
        </w:tc>
        <w:tc>
          <w:tcPr>
            <w:tcW w:type="dxa" w:w="2351"/>
          </w:tcPr>
          <w:p>
            <w:r>
              <w:rPr>
                <w:sz w:val="18"/>
              </w:rPr>
              <w:t>83.7%</w:t>
            </w:r>
          </w:p>
        </w:tc>
        <w:tc>
          <w:tcPr>
            <w:tcW w:type="dxa" w:w="2351"/>
          </w:tcPr>
          <w:p>
            <w:r>
              <w:rPr>
                <w:sz w:val="18"/>
              </w:rPr>
              <w:t>强通过</w:t>
            </w:r>
          </w:p>
        </w:tc>
      </w:tr>
    </w:tbl>
    <w:p>
      <w:r>
        <w:rPr>
          <w:b/>
          <w:sz w:val="24"/>
        </w:rPr>
        <w:t>5.2 聚合结果</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分组</w:t>
            </w:r>
          </w:p>
        </w:tc>
        <w:tc>
          <w:tcPr>
            <w:tcW w:type="dxa" w:w="1881"/>
          </w:tcPr>
          <w:p>
            <w:r>
              <w:rPr>
                <w:b/>
                <w:sz w:val="18"/>
              </w:rPr>
              <w:t>区域数</w:t>
            </w:r>
          </w:p>
        </w:tc>
        <w:tc>
          <w:tcPr>
            <w:tcW w:type="dxa" w:w="1881"/>
          </w:tcPr>
          <w:p>
            <w:r>
              <w:rPr>
                <w:b/>
                <w:sz w:val="18"/>
              </w:rPr>
              <w:t>模型</w:t>
            </w:r>
          </w:p>
        </w:tc>
        <w:tc>
          <w:tcPr>
            <w:tcW w:type="dxa" w:w="1881"/>
          </w:tcPr>
          <w:p>
            <w:r>
              <w:rPr>
                <w:b/>
                <w:sz w:val="18"/>
              </w:rPr>
              <w:t>持续性基线</w:t>
            </w:r>
          </w:p>
        </w:tc>
        <w:tc>
          <w:tcPr>
            <w:tcW w:type="dxa" w:w="1881"/>
          </w:tcPr>
          <w:p>
            <w:r>
              <w:rPr>
                <w:b/>
                <w:sz w:val="18"/>
              </w:rPr>
              <w:t>模型优势</w:t>
            </w:r>
          </w:p>
        </w:tc>
      </w:tr>
      <w:tr>
        <w:tc>
          <w:tcPr>
            <w:tcW w:type="dxa" w:w="1881"/>
          </w:tcPr>
          <w:p>
            <w:r>
              <w:rPr>
                <w:sz w:val="18"/>
              </w:rPr>
              <w:t>训练集</w:t>
            </w:r>
          </w:p>
        </w:tc>
        <w:tc>
          <w:tcPr>
            <w:tcW w:type="dxa" w:w="1881"/>
          </w:tcPr>
          <w:p>
            <w:r>
              <w:rPr>
                <w:sz w:val="18"/>
              </w:rPr>
              <w:t>12</w:t>
            </w:r>
          </w:p>
        </w:tc>
        <w:tc>
          <w:tcPr>
            <w:tcW w:type="dxa" w:w="1881"/>
          </w:tcPr>
          <w:p>
            <w:r>
              <w:rPr>
                <w:sz w:val="18"/>
              </w:rPr>
              <w:t>0.9575</w:t>
            </w:r>
          </w:p>
        </w:tc>
        <w:tc>
          <w:tcPr>
            <w:tcW w:type="dxa" w:w="1881"/>
          </w:tcPr>
          <w:p>
            <w:r>
              <w:rPr>
                <w:sz w:val="18"/>
              </w:rPr>
              <w:t>0.9460</w:t>
            </w:r>
          </w:p>
        </w:tc>
        <w:tc>
          <w:tcPr>
            <w:tcW w:type="dxa" w:w="1881"/>
          </w:tcPr>
          <w:p>
            <w:r>
              <w:rPr>
                <w:sz w:val="18"/>
              </w:rPr>
              <w:t>+0.0115</w:t>
            </w:r>
          </w:p>
        </w:tc>
      </w:tr>
      <w:tr>
        <w:tc>
          <w:tcPr>
            <w:tcW w:type="dxa" w:w="1881"/>
          </w:tcPr>
          <w:p>
            <w:r>
              <w:rPr>
                <w:sz w:val="18"/>
              </w:rPr>
              <w:t>验证集</w:t>
            </w:r>
          </w:p>
        </w:tc>
        <w:tc>
          <w:tcPr>
            <w:tcW w:type="dxa" w:w="1881"/>
          </w:tcPr>
          <w:p>
            <w:r>
              <w:rPr>
                <w:sz w:val="18"/>
              </w:rPr>
              <w:t>2</w:t>
            </w:r>
          </w:p>
        </w:tc>
        <w:tc>
          <w:tcPr>
            <w:tcW w:type="dxa" w:w="1881"/>
          </w:tcPr>
          <w:p>
            <w:r>
              <w:rPr>
                <w:sz w:val="18"/>
              </w:rPr>
              <w:t>0.9451</w:t>
            </w:r>
          </w:p>
        </w:tc>
        <w:tc>
          <w:tcPr>
            <w:tcW w:type="dxa" w:w="1881"/>
          </w:tcPr>
          <w:p>
            <w:r>
              <w:rPr>
                <w:sz w:val="18"/>
              </w:rPr>
              <w:t>0.9402</w:t>
            </w:r>
          </w:p>
        </w:tc>
        <w:tc>
          <w:tcPr>
            <w:tcW w:type="dxa" w:w="1881"/>
          </w:tcPr>
          <w:p>
            <w:r>
              <w:rPr>
                <w:sz w:val="18"/>
              </w:rPr>
              <w:t>+0.0049</w:t>
            </w:r>
          </w:p>
        </w:tc>
      </w:tr>
      <w:tr>
        <w:tc>
          <w:tcPr>
            <w:tcW w:type="dxa" w:w="1881"/>
          </w:tcPr>
          <w:p>
            <w:r>
              <w:rPr>
                <w:sz w:val="18"/>
              </w:rPr>
              <w:t>测试集</w:t>
            </w:r>
          </w:p>
        </w:tc>
        <w:tc>
          <w:tcPr>
            <w:tcW w:type="dxa" w:w="1881"/>
          </w:tcPr>
          <w:p>
            <w:r>
              <w:rPr>
                <w:sz w:val="18"/>
              </w:rPr>
              <w:t>1</w:t>
            </w:r>
          </w:p>
        </w:tc>
        <w:tc>
          <w:tcPr>
            <w:tcW w:type="dxa" w:w="1881"/>
          </w:tcPr>
          <w:p>
            <w:r>
              <w:rPr>
                <w:sz w:val="18"/>
              </w:rPr>
              <w:t>0.9560</w:t>
            </w:r>
          </w:p>
        </w:tc>
        <w:tc>
          <w:tcPr>
            <w:tcW w:type="dxa" w:w="1881"/>
          </w:tcPr>
          <w:p>
            <w:r>
              <w:rPr>
                <w:sz w:val="18"/>
              </w:rPr>
              <w:t>0.9670</w:t>
            </w:r>
          </w:p>
        </w:tc>
        <w:tc>
          <w:tcPr>
            <w:tcW w:type="dxa" w:w="1881"/>
          </w:tcPr>
          <w:p>
            <w:r>
              <w:rPr>
                <w:sz w:val="18"/>
              </w:rPr>
              <w:t>-0.0110</w:t>
            </w:r>
          </w:p>
        </w:tc>
      </w:tr>
      <w:tr>
        <w:tc>
          <w:tcPr>
            <w:tcW w:type="dxa" w:w="1881"/>
          </w:tcPr>
          <w:p>
            <w:r>
              <w:rPr>
                <w:sz w:val="18"/>
              </w:rPr>
              <w:t>域外集</w:t>
            </w:r>
          </w:p>
        </w:tc>
        <w:tc>
          <w:tcPr>
            <w:tcW w:type="dxa" w:w="1881"/>
          </w:tcPr>
          <w:p>
            <w:r>
              <w:rPr>
                <w:sz w:val="18"/>
              </w:rPr>
              <w:t>2</w:t>
            </w:r>
          </w:p>
        </w:tc>
        <w:tc>
          <w:tcPr>
            <w:tcW w:type="dxa" w:w="1881"/>
          </w:tcPr>
          <w:p>
            <w:r>
              <w:rPr>
                <w:sz w:val="18"/>
              </w:rPr>
              <w:t>0.9570</w:t>
            </w:r>
          </w:p>
        </w:tc>
        <w:tc>
          <w:tcPr>
            <w:tcW w:type="dxa" w:w="1881"/>
          </w:tcPr>
          <w:p>
            <w:r>
              <w:rPr>
                <w:sz w:val="18"/>
              </w:rPr>
              <w:t>0.9694</w:t>
            </w:r>
          </w:p>
        </w:tc>
        <w:tc>
          <w:tcPr>
            <w:tcW w:type="dxa" w:w="1881"/>
          </w:tcPr>
          <w:p>
            <w:r>
              <w:rPr>
                <w:sz w:val="18"/>
              </w:rPr>
              <w:t>-0.0124</w:t>
            </w:r>
          </w:p>
        </w:tc>
      </w:tr>
    </w:tbl>
    <w:p>
      <w:r>
        <w:rPr>
          <w:b/>
          <w:sz w:val="24"/>
        </w:rPr>
        <w:t>5.3 变化像素分析</w:t>
      </w:r>
    </w:p>
    <w:p>
      <w:r>
        <w:rPr>
          <w:sz w:val="22"/>
        </w:rPr>
        <w:t>在实际发生土地利用变化的像素（嵌入位移前20%）上，模型优势显著放大：</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区域</w:t>
            </w:r>
          </w:p>
        </w:tc>
        <w:tc>
          <w:tcPr>
            <w:tcW w:type="dxa" w:w="1568"/>
          </w:tcPr>
          <w:p>
            <w:r>
              <w:rPr>
                <w:b/>
                <w:sz w:val="18"/>
              </w:rPr>
              <w:t>变化像素模型</w:t>
            </w:r>
          </w:p>
        </w:tc>
        <w:tc>
          <w:tcPr>
            <w:tcW w:type="dxa" w:w="1568"/>
          </w:tcPr>
          <w:p>
            <w:r>
              <w:rPr>
                <w:b/>
                <w:sz w:val="18"/>
              </w:rPr>
              <w:t>变化像素基线</w:t>
            </w:r>
          </w:p>
        </w:tc>
        <w:tc>
          <w:tcPr>
            <w:tcW w:type="dxa" w:w="1568"/>
          </w:tcPr>
          <w:p>
            <w:r>
              <w:rPr>
                <w:b/>
                <w:sz w:val="18"/>
              </w:rPr>
              <w:t>优势</w:t>
            </w:r>
          </w:p>
        </w:tc>
        <w:tc>
          <w:tcPr>
            <w:tcW w:type="dxa" w:w="1568"/>
          </w:tcPr>
          <w:p>
            <w:r>
              <w:rPr>
                <w:b/>
                <w:sz w:val="18"/>
              </w:rPr>
              <w:t>稳定像素模型</w:t>
            </w:r>
          </w:p>
        </w:tc>
        <w:tc>
          <w:tcPr>
            <w:tcW w:type="dxa" w:w="1568"/>
          </w:tcPr>
          <w:p>
            <w:r>
              <w:rPr>
                <w:b/>
                <w:sz w:val="18"/>
              </w:rPr>
              <w:t>稳定像素基线</w:t>
            </w:r>
          </w:p>
        </w:tc>
      </w:tr>
      <w:tr>
        <w:tc>
          <w:tcPr>
            <w:tcW w:type="dxa" w:w="1568"/>
          </w:tcPr>
          <w:p>
            <w:r>
              <w:rPr>
                <w:sz w:val="18"/>
              </w:rPr>
              <w:t>青海边缘</w:t>
            </w:r>
          </w:p>
        </w:tc>
        <w:tc>
          <w:tcPr>
            <w:tcW w:type="dxa" w:w="1568"/>
          </w:tcPr>
          <w:p>
            <w:r>
              <w:rPr>
                <w:sz w:val="18"/>
              </w:rPr>
              <w:t>0.669</w:t>
            </w:r>
          </w:p>
        </w:tc>
        <w:tc>
          <w:tcPr>
            <w:tcW w:type="dxa" w:w="1568"/>
          </w:tcPr>
          <w:p>
            <w:r>
              <w:rPr>
                <w:sz w:val="18"/>
              </w:rPr>
              <w:t>0.561</w:t>
            </w:r>
          </w:p>
        </w:tc>
        <w:tc>
          <w:tcPr>
            <w:tcW w:type="dxa" w:w="1568"/>
          </w:tcPr>
          <w:p>
            <w:r>
              <w:rPr>
                <w:sz w:val="18"/>
              </w:rPr>
              <w:t>+0.108</w:t>
            </w:r>
          </w:p>
        </w:tc>
        <w:tc>
          <w:tcPr>
            <w:tcW w:type="dxa" w:w="1568"/>
          </w:tcPr>
          <w:p>
            <w:r>
              <w:rPr>
                <w:sz w:val="18"/>
              </w:rPr>
              <w:t>0.920</w:t>
            </w:r>
          </w:p>
        </w:tc>
        <w:tc>
          <w:tcPr>
            <w:tcW w:type="dxa" w:w="1568"/>
          </w:tcPr>
          <w:p>
            <w:r>
              <w:rPr>
                <w:sz w:val="18"/>
              </w:rPr>
              <w:t>0.909</w:t>
            </w:r>
          </w:p>
        </w:tc>
      </w:tr>
      <w:tr>
        <w:tc>
          <w:tcPr>
            <w:tcW w:type="dxa" w:w="1568"/>
          </w:tcPr>
          <w:p>
            <w:r>
              <w:rPr>
                <w:sz w:val="18"/>
              </w:rPr>
              <w:t>东北平原</w:t>
            </w:r>
          </w:p>
        </w:tc>
        <w:tc>
          <w:tcPr>
            <w:tcW w:type="dxa" w:w="1568"/>
          </w:tcPr>
          <w:p>
            <w:r>
              <w:rPr>
                <w:sz w:val="18"/>
              </w:rPr>
              <w:t>0.918</w:t>
            </w:r>
          </w:p>
        </w:tc>
        <w:tc>
          <w:tcPr>
            <w:tcW w:type="dxa" w:w="1568"/>
          </w:tcPr>
          <w:p>
            <w:r>
              <w:rPr>
                <w:sz w:val="18"/>
              </w:rPr>
              <w:t>0.875</w:t>
            </w:r>
          </w:p>
        </w:tc>
        <w:tc>
          <w:tcPr>
            <w:tcW w:type="dxa" w:w="1568"/>
          </w:tcPr>
          <w:p>
            <w:r>
              <w:rPr>
                <w:sz w:val="18"/>
              </w:rPr>
              <w:t>+0.043</w:t>
            </w:r>
          </w:p>
        </w:tc>
        <w:tc>
          <w:tcPr>
            <w:tcW w:type="dxa" w:w="1568"/>
          </w:tcPr>
          <w:p>
            <w:r>
              <w:rPr>
                <w:sz w:val="18"/>
              </w:rPr>
              <w:t>0.987</w:t>
            </w:r>
          </w:p>
        </w:tc>
        <w:tc>
          <w:tcPr>
            <w:tcW w:type="dxa" w:w="1568"/>
          </w:tcPr>
          <w:p>
            <w:r>
              <w:rPr>
                <w:sz w:val="18"/>
              </w:rPr>
              <w:t>0.983</w:t>
            </w:r>
          </w:p>
        </w:tc>
      </w:tr>
      <w:tr>
        <w:tc>
          <w:tcPr>
            <w:tcW w:type="dxa" w:w="1568"/>
          </w:tcPr>
          <w:p>
            <w:r>
              <w:rPr>
                <w:sz w:val="18"/>
              </w:rPr>
              <w:t>江汉平原</w:t>
            </w:r>
          </w:p>
        </w:tc>
        <w:tc>
          <w:tcPr>
            <w:tcW w:type="dxa" w:w="1568"/>
          </w:tcPr>
          <w:p>
            <w:r>
              <w:rPr>
                <w:sz w:val="18"/>
              </w:rPr>
              <w:t>0.905</w:t>
            </w:r>
          </w:p>
        </w:tc>
        <w:tc>
          <w:tcPr>
            <w:tcW w:type="dxa" w:w="1568"/>
          </w:tcPr>
          <w:p>
            <w:r>
              <w:rPr>
                <w:sz w:val="18"/>
              </w:rPr>
              <w:t>0.875</w:t>
            </w:r>
          </w:p>
        </w:tc>
        <w:tc>
          <w:tcPr>
            <w:tcW w:type="dxa" w:w="1568"/>
          </w:tcPr>
          <w:p>
            <w:r>
              <w:rPr>
                <w:sz w:val="18"/>
              </w:rPr>
              <w:t>+0.030</w:t>
            </w:r>
          </w:p>
        </w:tc>
        <w:tc>
          <w:tcPr>
            <w:tcW w:type="dxa" w:w="1568"/>
          </w:tcPr>
          <w:p>
            <w:r>
              <w:rPr>
                <w:sz w:val="18"/>
              </w:rPr>
              <w:t>0.981</w:t>
            </w:r>
          </w:p>
        </w:tc>
        <w:tc>
          <w:tcPr>
            <w:tcW w:type="dxa" w:w="1568"/>
          </w:tcPr>
          <w:p>
            <w:r>
              <w:rPr>
                <w:sz w:val="18"/>
              </w:rPr>
              <w:t>0.971</w:t>
            </w:r>
          </w:p>
        </w:tc>
      </w:tr>
      <w:tr>
        <w:tc>
          <w:tcPr>
            <w:tcW w:type="dxa" w:w="1568"/>
          </w:tcPr>
          <w:p>
            <w:r>
              <w:rPr>
                <w:sz w:val="18"/>
              </w:rPr>
              <w:t>鄱阳湖（验证）</w:t>
            </w:r>
          </w:p>
        </w:tc>
        <w:tc>
          <w:tcPr>
            <w:tcW w:type="dxa" w:w="1568"/>
          </w:tcPr>
          <w:p>
            <w:r>
              <w:rPr>
                <w:sz w:val="18"/>
              </w:rPr>
              <w:t>0.848</w:t>
            </w:r>
          </w:p>
        </w:tc>
        <w:tc>
          <w:tcPr>
            <w:tcW w:type="dxa" w:w="1568"/>
          </w:tcPr>
          <w:p>
            <w:r>
              <w:rPr>
                <w:sz w:val="18"/>
              </w:rPr>
              <w:t>0.829</w:t>
            </w:r>
          </w:p>
        </w:tc>
        <w:tc>
          <w:tcPr>
            <w:tcW w:type="dxa" w:w="1568"/>
          </w:tcPr>
          <w:p>
            <w:r>
              <w:rPr>
                <w:sz w:val="18"/>
              </w:rPr>
              <w:t>+0.019</w:t>
            </w:r>
          </w:p>
        </w:tc>
        <w:tc>
          <w:tcPr>
            <w:tcW w:type="dxa" w:w="1568"/>
          </w:tcPr>
          <w:p>
            <w:r>
              <w:rPr>
                <w:sz w:val="18"/>
              </w:rPr>
              <w:t>0.962</w:t>
            </w:r>
          </w:p>
        </w:tc>
        <w:tc>
          <w:tcPr>
            <w:tcW w:type="dxa" w:w="1568"/>
          </w:tcPr>
          <w:p>
            <w:r>
              <w:rPr>
                <w:sz w:val="18"/>
              </w:rPr>
              <w:t>0.967</w:t>
            </w:r>
          </w:p>
        </w:tc>
      </w:tr>
    </w:tbl>
    <w:p>
      <w:r>
        <w:rPr>
          <w:b/>
          <w:sz w:val="24"/>
        </w:rPr>
        <w:t>5.4 多步退化分析</w:t>
      </w:r>
    </w:p>
    <w:p>
      <w:r>
        <w:rPr>
          <w:sz w:val="22"/>
        </w:rPr>
        <w:t>采用多步展开训练后，长三角在6步自回归中有5步维持正优势（未用展开训练前仅3步），证明暴露偏差缓解策略的有效性。</w:t>
      </w:r>
    </w:p>
    <w:p>
      <w:r>
        <w:rPr>
          <w:b/>
          <w:sz w:val="24"/>
        </w:rPr>
        <w:t>5.5 数据规模消融：2区域 vs 12区域</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8"/>
              </w:rPr>
              <w:t>指标</w:t>
            </w:r>
          </w:p>
        </w:tc>
        <w:tc>
          <w:tcPr>
            <w:tcW w:type="dxa" w:w="2351"/>
          </w:tcPr>
          <w:p>
            <w:r>
              <w:rPr>
                <w:b/>
                <w:sz w:val="18"/>
              </w:rPr>
              <w:t>2个区域</w:t>
            </w:r>
          </w:p>
        </w:tc>
        <w:tc>
          <w:tcPr>
            <w:tcW w:type="dxa" w:w="2351"/>
          </w:tcPr>
          <w:p>
            <w:r>
              <w:rPr>
                <w:b/>
                <w:sz w:val="18"/>
              </w:rPr>
              <w:t>12个区域</w:t>
            </w:r>
          </w:p>
        </w:tc>
        <w:tc>
          <w:tcPr>
            <w:tcW w:type="dxa" w:w="2351"/>
          </w:tcPr>
          <w:p>
            <w:r>
              <w:rPr>
                <w:b/>
                <w:sz w:val="18"/>
              </w:rPr>
              <w:t>改善</w:t>
            </w:r>
          </w:p>
        </w:tc>
      </w:tr>
      <w:tr>
        <w:tc>
          <w:tcPr>
            <w:tcW w:type="dxa" w:w="2351"/>
          </w:tcPr>
          <w:p>
            <w:r>
              <w:rPr>
                <w:sz w:val="18"/>
              </w:rPr>
              <w:t>训练集优势</w:t>
            </w:r>
          </w:p>
        </w:tc>
        <w:tc>
          <w:tcPr>
            <w:tcW w:type="dxa" w:w="2351"/>
          </w:tcPr>
          <w:p>
            <w:r>
              <w:rPr>
                <w:sz w:val="18"/>
              </w:rPr>
              <w:t>+0.003</w:t>
            </w:r>
          </w:p>
        </w:tc>
        <w:tc>
          <w:tcPr>
            <w:tcW w:type="dxa" w:w="2351"/>
          </w:tcPr>
          <w:p>
            <w:r>
              <w:rPr>
                <w:sz w:val="18"/>
              </w:rPr>
              <w:t>+0.012</w:t>
            </w:r>
          </w:p>
        </w:tc>
        <w:tc>
          <w:tcPr>
            <w:tcW w:type="dxa" w:w="2351"/>
          </w:tcPr>
          <w:p>
            <w:r>
              <w:rPr>
                <w:sz w:val="18"/>
              </w:rPr>
              <w:t>4倍</w:t>
            </w:r>
          </w:p>
        </w:tc>
      </w:tr>
      <w:tr>
        <w:tc>
          <w:tcPr>
            <w:tcW w:type="dxa" w:w="2351"/>
          </w:tcPr>
          <w:p>
            <w:r>
              <w:rPr>
                <w:sz w:val="18"/>
              </w:rPr>
              <w:t>训练集胜率</w:t>
            </w:r>
          </w:p>
        </w:tc>
        <w:tc>
          <w:tcPr>
            <w:tcW w:type="dxa" w:w="2351"/>
          </w:tcPr>
          <w:p>
            <w:r>
              <w:rPr>
                <w:sz w:val="18"/>
              </w:rPr>
              <w:t>50%</w:t>
            </w:r>
          </w:p>
        </w:tc>
        <w:tc>
          <w:tcPr>
            <w:tcW w:type="dxa" w:w="2351"/>
          </w:tcPr>
          <w:p>
            <w:r>
              <w:rPr>
                <w:sz w:val="18"/>
              </w:rPr>
              <w:t>100%</w:t>
            </w:r>
          </w:p>
        </w:tc>
        <w:tc>
          <w:tcPr>
            <w:tcW w:type="dxa" w:w="2351"/>
          </w:tcPr>
          <w:p>
            <w:r>
              <w:rPr>
                <w:sz w:val="18"/>
              </w:rPr>
              <w:t>全胜</w:t>
            </w:r>
          </w:p>
        </w:tc>
      </w:tr>
      <w:tr>
        <w:tc>
          <w:tcPr>
            <w:tcW w:type="dxa" w:w="2351"/>
          </w:tcPr>
          <w:p>
            <w:r>
              <w:rPr>
                <w:sz w:val="18"/>
              </w:rPr>
              <w:t>域外差距</w:t>
            </w:r>
          </w:p>
        </w:tc>
        <w:tc>
          <w:tcPr>
            <w:tcW w:type="dxa" w:w="2351"/>
          </w:tcPr>
          <w:p>
            <w:r>
              <w:rPr>
                <w:sz w:val="18"/>
              </w:rPr>
              <w:t>-0.195</w:t>
            </w:r>
          </w:p>
        </w:tc>
        <w:tc>
          <w:tcPr>
            <w:tcW w:type="dxa" w:w="2351"/>
          </w:tcPr>
          <w:p>
            <w:r>
              <w:rPr>
                <w:sz w:val="18"/>
              </w:rPr>
              <w:t>-0.012</w:t>
            </w:r>
          </w:p>
        </w:tc>
        <w:tc>
          <w:tcPr>
            <w:tcW w:type="dxa" w:w="2351"/>
          </w:tcPr>
          <w:p>
            <w:r>
              <w:rPr>
                <w:sz w:val="18"/>
              </w:rPr>
              <w:t>缩小94%</w:t>
            </w:r>
          </w:p>
        </w:tc>
      </w:tr>
    </w:tbl>
    <w:p>
      <w:r>
        <w:rPr>
          <w:b/>
          <w:sz w:val="24"/>
        </w:rPr>
        <w:t>5.6 消融实验</w:t>
      </w:r>
    </w:p>
    <w:p>
      <w:r>
        <w:rPr>
          <w:sz w:val="22"/>
        </w:rPr>
        <w:t>为验证每个架构组件的必要性，我们在相同的12个训练区域上训练三个消融变体：</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8"/>
              </w:rPr>
              <w:t>变体</w:t>
            </w:r>
          </w:p>
        </w:tc>
        <w:tc>
          <w:tcPr>
            <w:tcW w:type="dxa" w:w="2351"/>
          </w:tcPr>
          <w:p>
            <w:r>
              <w:rPr>
                <w:b/>
                <w:sz w:val="18"/>
              </w:rPr>
              <w:t>训练集优势</w:t>
            </w:r>
          </w:p>
        </w:tc>
        <w:tc>
          <w:tcPr>
            <w:tcW w:type="dxa" w:w="2351"/>
          </w:tcPr>
          <w:p>
            <w:r>
              <w:rPr>
                <w:b/>
                <w:sz w:val="18"/>
              </w:rPr>
              <w:t>验证集优势</w:t>
            </w:r>
          </w:p>
        </w:tc>
        <w:tc>
          <w:tcPr>
            <w:tcW w:type="dxa" w:w="2351"/>
          </w:tcPr>
          <w:p>
            <w:r>
              <w:rPr>
                <w:b/>
                <w:sz w:val="18"/>
              </w:rPr>
              <w:t>变化像素优势</w:t>
            </w:r>
          </w:p>
        </w:tc>
      </w:tr>
      <w:tr>
        <w:tc>
          <w:tcPr>
            <w:tcW w:type="dxa" w:w="2351"/>
          </w:tcPr>
          <w:p>
            <w:r>
              <w:rPr>
                <w:sz w:val="18"/>
              </w:rPr>
              <w:t>完整模型</w:t>
            </w:r>
          </w:p>
        </w:tc>
        <w:tc>
          <w:tcPr>
            <w:tcW w:type="dxa" w:w="2351"/>
          </w:tcPr>
          <w:p>
            <w:r>
              <w:rPr>
                <w:sz w:val="18"/>
              </w:rPr>
              <w:t>+0.0135</w:t>
            </w:r>
          </w:p>
        </w:tc>
        <w:tc>
          <w:tcPr>
            <w:tcW w:type="dxa" w:w="2351"/>
          </w:tcPr>
          <w:p>
            <w:r>
              <w:rPr>
                <w:sz w:val="18"/>
              </w:rPr>
              <w:t>+0.0019</w:t>
            </w:r>
          </w:p>
        </w:tc>
        <w:tc>
          <w:tcPr>
            <w:tcW w:type="dxa" w:w="2351"/>
          </w:tcPr>
          <w:p>
            <w:r>
              <w:rPr>
                <w:sz w:val="18"/>
              </w:rPr>
              <w:t>+0.0290</w:t>
            </w:r>
          </w:p>
        </w:tc>
      </w:tr>
      <w:tr>
        <w:tc>
          <w:tcPr>
            <w:tcW w:type="dxa" w:w="2351"/>
          </w:tcPr>
          <w:p>
            <w:r>
              <w:rPr>
                <w:sz w:val="18"/>
              </w:rPr>
              <w:t>移除L2归一化</w:t>
            </w:r>
          </w:p>
        </w:tc>
        <w:tc>
          <w:tcPr>
            <w:tcW w:type="dxa" w:w="2351"/>
          </w:tcPr>
          <w:p>
            <w:r>
              <w:rPr>
                <w:sz w:val="18"/>
              </w:rPr>
              <w:t>+0.0052 (-62%)</w:t>
            </w:r>
          </w:p>
        </w:tc>
        <w:tc>
          <w:tcPr>
            <w:tcW w:type="dxa" w:w="2351"/>
          </w:tcPr>
          <w:p>
            <w:r>
              <w:rPr>
                <w:sz w:val="18"/>
              </w:rPr>
              <w:t>-0.0021</w:t>
            </w:r>
          </w:p>
        </w:tc>
        <w:tc>
          <w:tcPr>
            <w:tcW w:type="dxa" w:w="2351"/>
          </w:tcPr>
          <w:p>
            <w:r>
              <w:rPr>
                <w:sz w:val="18"/>
              </w:rPr>
              <w:t>+0.0133 (-54%)</w:t>
            </w:r>
          </w:p>
        </w:tc>
      </w:tr>
      <w:tr>
        <w:tc>
          <w:tcPr>
            <w:tcW w:type="dxa" w:w="2351"/>
          </w:tcPr>
          <w:p>
            <w:r>
              <w:rPr>
                <w:sz w:val="18"/>
              </w:rPr>
              <w:t>移除空洞卷积</w:t>
            </w:r>
          </w:p>
        </w:tc>
        <w:tc>
          <w:tcPr>
            <w:tcW w:type="dxa" w:w="2351"/>
          </w:tcPr>
          <w:p>
            <w:r>
              <w:rPr>
                <w:sz w:val="18"/>
              </w:rPr>
              <w:t>+0.0102 (-24%)</w:t>
            </w:r>
          </w:p>
        </w:tc>
        <w:tc>
          <w:tcPr>
            <w:tcW w:type="dxa" w:w="2351"/>
          </w:tcPr>
          <w:p>
            <w:r>
              <w:rPr>
                <w:sz w:val="18"/>
              </w:rPr>
              <w:t>+0.0064</w:t>
            </w:r>
          </w:p>
        </w:tc>
        <w:tc>
          <w:tcPr>
            <w:tcW w:type="dxa" w:w="2351"/>
          </w:tcPr>
          <w:p>
            <w:r>
              <w:rPr>
                <w:sz w:val="18"/>
              </w:rPr>
              <w:t>+0.0197 (-32%)</w:t>
            </w:r>
          </w:p>
        </w:tc>
      </w:tr>
      <w:tr>
        <w:tc>
          <w:tcPr>
            <w:tcW w:type="dxa" w:w="2351"/>
          </w:tcPr>
          <w:p>
            <w:r>
              <w:rPr>
                <w:sz w:val="18"/>
              </w:rPr>
              <w:t>移除展开损失(K=1)</w:t>
            </w:r>
          </w:p>
        </w:tc>
        <w:tc>
          <w:tcPr>
            <w:tcW w:type="dxa" w:w="2351"/>
          </w:tcPr>
          <w:p>
            <w:r>
              <w:rPr>
                <w:sz w:val="18"/>
              </w:rPr>
              <w:t>+0.0120 (-11%)</w:t>
            </w:r>
          </w:p>
        </w:tc>
        <w:tc>
          <w:tcPr>
            <w:tcW w:type="dxa" w:w="2351"/>
          </w:tcPr>
          <w:p>
            <w:r>
              <w:rPr>
                <w:sz w:val="18"/>
              </w:rPr>
              <w:t>-0.0006</w:t>
            </w:r>
          </w:p>
        </w:tc>
        <w:tc>
          <w:tcPr>
            <w:tcW w:type="dxa" w:w="2351"/>
          </w:tcPr>
          <w:p>
            <w:r>
              <w:rPr>
                <w:sz w:val="18"/>
              </w:rPr>
              <w:t>+0.0295</w:t>
            </w:r>
          </w:p>
        </w:tc>
      </w:tr>
    </w:tbl>
    <w:p>
      <w:r>
        <w:rPr>
          <w:sz w:val="22"/>
        </w:rPr>
        <w:t>L2归一化是最关键的组件：移除后优势下降62%，验证集转负。无重投影时嵌入范数在6步后漂移至1.11。空洞卷积主要影响变化像素（-32%）。展开损失提升长时域鲁棒性（长三角6/6步 vs 5/6步）。</w:t>
      </w:r>
    </w:p>
    <w:p>
      <w:r>
        <w:rPr>
          <w:b/>
          <w:sz w:val="28"/>
        </w:rPr>
        <w:t>6. 讨论</w:t>
      </w:r>
    </w:p>
    <w:p>
      <w:r>
        <w:rPr>
          <w:sz w:val="22"/>
        </w:rPr>
        <w:t>JEPA实现。我们的架构直接实例化了JEPA框架：AlphaEarth=编码器，LatentDynamicsNet=预测器，完全在表征空间中操作。冻结编码器方案将表征质量与动力学学习解耦，使459K参数的动力学模型在CPU上不到2分钟即可完成训练。</w:t>
      </w:r>
    </w:p>
    <w:p>
      <w:r>
        <w:rPr>
          <w:sz w:val="22"/>
        </w:rPr>
        <w:t>为什么模型在变化像素上有效。变化像素分析揭示，模型优势集中在发生真实转变的像素上（+0.030至+0.108），而稳定像素与持续性基线几乎相同。模型学会了识别哪些嵌入处于不稳定的转变前状态。</w:t>
      </w:r>
    </w:p>
    <w:p>
      <w:r>
        <w:rPr>
          <w:b/>
          <w:sz w:val="24"/>
        </w:rPr>
        <w:t>6.3 可解释性与地理学理论对齐</w:t>
      </w:r>
    </w:p>
    <w:p>
      <w:r>
        <w:rPr>
          <w:sz w:val="22"/>
        </w:rPr>
        <w:t>空间自相关与Tobler地理学第一定律。Tobler地理学第一定律指出"一切事物都与其他事物相关,但近处的事物比远处的事物更相关"(Tobler, 1970)。我们的空洞卷积架构(感受野170m)是这一原理的直接计算实现:每个像素的预测未来状态由其空间邻域决定。消融实验证实了这一点--移除空洞卷积使变化像素优势下降32%,表明宏观尺度的空间上下文对城乡交界带的土地利用转变至关重要。</w:t>
      </w:r>
    </w:p>
    <w:p>
      <w:r>
        <w:rPr>
          <w:sz w:val="22"/>
        </w:rPr>
        <w:t>空间扩散理论。Hagerstrand的空间扩散理论认为土地利用变化从起源中心向外传播。卷积动力学天然编码了这种模式:城市边缘的已城市化像素"影响"相邻的农业像素,产生逐步向外扩展的效果。转移矩阵证实了这一点--主要转变(耕地-&gt;灌木、耕地-&gt;水体)集中在边界地带而非均匀分布。</w:t>
      </w:r>
    </w:p>
    <w:p>
      <w:r>
        <w:rPr>
          <w:sz w:val="22"/>
        </w:rPr>
        <w:t>线性可解码性作为语义可解释性。线性探测器(逻辑回归)以83.5%的精度解码LULC类别,证明64维嵌入空间在土地覆盖语义上是线性可分的。动力学模型预测的残差delta_z可以沿线性分类器的决策边界分解:其幅度表示变化强度,方向揭示预测的土地覆盖转变类型。与像素级生成模型中中间表示不透明不同,我们的预测在整个自回归推演过程中始终保持在语义结构化的空间中。</w:t>
      </w:r>
    </w:p>
    <w:p>
      <w:r>
        <w:rPr>
          <w:sz w:val="22"/>
        </w:rPr>
        <w:t>与经典LULC模型的关系。自回归公式z_{t+1} = f(z_t, sigma)在数学上是连续状态空间的马尔可夫过程,将离散的CA-Markov转移矩阵推广到64维连续流形。转移矩阵输出为熟悉马尔可夫建模的从业者提供了直接桥梁,而底层的连续动力学保留了比类别转移更丰富的信息。</w:t>
      </w:r>
    </w:p>
    <w:p>
      <w:r>
        <w:rPr>
          <w:sz w:val="22"/>
        </w:rPr>
        <w:t>情景编码说明。所有训练数据使用基线情景（历史观测）。情景条件架构已就位但尚未针对反事实情景进行训练。激活它需要情景标签数据（如已知政策干预区域）——这被确定为最主要的未来工作方向。</w:t>
      </w:r>
    </w:p>
    <w:p>
      <w:r>
        <w:rPr>
          <w:sz w:val="22"/>
        </w:rPr>
        <w:t>局限性。（1）年度时间分辨率限制了亚年度动力学。（2）情景条件当前仅在基线情景上运行（见上文）。（3）170 m感受野可能不足以捕捉城市尺度驱动因素。（4）训练集中缺失的极端生物群落可能导致更大退化。</w:t>
      </w:r>
    </w:p>
    <w:p>
      <w:r>
        <w:rPr>
          <w:b/>
          <w:sz w:val="28"/>
        </w:rPr>
        <w:t>7. 结论</w:t>
      </w:r>
    </w:p>
    <w:p>
      <w:r>
        <w:rPr>
          <w:sz w:val="22"/>
        </w:rPr>
        <w:t>本文提出了一种地理空间世界模型，完全在冻结的地理空间基础模型嵌入空间中预测土地利用变化。通过将AlphaEarth的64维嵌入（480M+参数编码器）与轻量级LatentDynamicsNet（459K参数）结合，我们证明了以少于可比模型三个数量级的参数量即可学习到有意义的时间动力学。主要发现：（1）模型在全部12个训练区域和验证集上超越持续性基线；（2）在真正发生变化的像素上，优势比全局指标大2-10倍；（3）多步展开训练将有效预测窗口从3年扩展到6年；（4）将训练多样性从2个区域扩展到12个可使域外退化降低94%；（5）消融实验确认全部三项创新均不可或缺，其中L2归一化最为关键（移除后优势下降62%）。我们注意到情景条件架构已就位但当前仅在基线上训练；激活反事实模拟是主要的未来方向。</w:t>
      </w:r>
    </w:p>
    <w:p>
      <w:r>
        <w:rPr>
          <w:b/>
          <w:sz w:val="28"/>
        </w:rPr>
        <w:t>参考文献</w:t>
      </w:r>
    </w:p>
    <w:p>
      <w:r>
        <w:rPr>
          <w:sz w:val="18"/>
        </w:rPr>
        <w:t>[1] Astruc, G.等 (2024). AnySat: 面向任意分辨率、尺度和模态的对地观测模型. arXiv:2412.14123.</w:t>
      </w:r>
    </w:p>
    <w:p>
      <w:r>
        <w:rPr>
          <w:sz w:val="18"/>
        </w:rPr>
        <w:t>[2] Brown, C.等 (2025). AlphaEarth Foundations: 用于稀疏标签数据的高效全球制图嵌入场模型. arXiv:2507.22291.</w:t>
      </w:r>
    </w:p>
    <w:p>
      <w:r>
        <w:rPr>
          <w:sz w:val="18"/>
        </w:rPr>
        <w:t>[3] Ha, D.和Schmidhuber, J. (2018). 世界模型. arXiv:1803.10122.</w:t>
      </w:r>
    </w:p>
    <w:p>
      <w:r>
        <w:rPr>
          <w:sz w:val="18"/>
        </w:rPr>
        <w:t>[4] Hafner, D.等 (2023). 通过世界模型掌握多样化领域 (Dreamer V3). arXiv:2301.04104.</w:t>
      </w:r>
    </w:p>
    <w:p>
      <w:r>
        <w:rPr>
          <w:sz w:val="18"/>
        </w:rPr>
        <w:t>[5] LeCun, Y. (2022). 通往自主机器智能之路. OpenReview.</w:t>
      </w:r>
    </w:p>
    <w:p>
      <w:r>
        <w:rPr>
          <w:sz w:val="18"/>
        </w:rPr>
        <w:t>[6] Rahman, S. (2026). 物理可解释的AlphaEarth嵌入. arXiv:2602.10354.</w:t>
      </w:r>
    </w:p>
    <w:p>
      <w:r>
        <w:rPr>
          <w:sz w:val="18"/>
        </w:rPr>
        <w:t>[7] Schrittwieser, J.等 (2020). 通过学习模型规划掌握Atari、围棋、国际象棋和将棋. Nature 588, 604-609.</w:t>
      </w:r>
    </w:p>
    <w:p>
      <w:r>
        <w:rPr>
          <w:sz w:val="18"/>
        </w:rPr>
        <w:t>[8] Smith, O.等 (2023). EarthPT: 对地观测基础模型. arXiv:2309.07207.</w:t>
      </w:r>
    </w:p>
    <w:p>
      <w:r>
        <w:rPr>
          <w:sz w:val="18"/>
        </w:rPr>
        <w:t>[9] Turnbull, M.等 (2025). Themeda: 自回归土地覆盖变化预测. Journal of Remote Sensing.</w:t>
      </w:r>
    </w:p>
    <w:p>
      <w:r>
        <w:rPr>
          <w:sz w:val="18"/>
        </w:rPr>
        <w:t>[10] Zhou, N.和Jing, X. (2026). 基于可迁移深度强化学习的耕地空间布局优化方法. IJGIS (审稿中).</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sz w:val="22"/>
      <w:rFonts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