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阿布扎比城市暴雨内涝世界模型</w:t>
        <w:br/>
        <w:t>客户权威数据需求说明书</w:t>
      </w:r>
    </w:p>
    <w:p>
      <w:pPr>
        <w:jc w:val="center"/>
      </w:pPr>
      <w:r>
        <w:rPr>
          <w:color w:val="666666"/>
        </w:rPr>
        <w:t>客户交付版｜2026-08-20</w:t>
      </w:r>
    </w:p>
    <w:p/>
    <w:tbl>
      <w:tblPr>
        <w:tblStyle w:val="TableGrid"/>
        <w:tblW w:type="auto" w:w="0"/>
        <w:jc w:val="center"/>
        <w:tblLook w:firstColumn="1" w:firstRow="1" w:lastColumn="0" w:lastRow="0" w:noHBand="0" w:noVBand="1" w:val="04A0"/>
      </w:tblPr>
      <w:tblGrid>
        <w:gridCol w:w="7625"/>
        <w:gridCol w:w="7625"/>
      </w:tblGrid>
      <w:tr>
        <w:tc>
          <w:tcPr>
            <w:tcW w:type="dxa" w:w="7625"/>
            <w:shd w:fill="D9EAF7"/>
          </w:tcPr>
          <w:p>
            <w:pPr>
              <w:spacing w:after="0"/>
            </w:pPr>
            <w:r/>
            <w:r>
              <w:rPr>
                <w:rFonts w:ascii="Microsoft YaHei" w:hAnsi="Microsoft YaHei" w:eastAsia="Microsoft YaHei"/>
                <w:b/>
                <w:color w:val="1F4E78"/>
              </w:rPr>
              <w:t>正式输入原则</w:t>
            </w:r>
          </w:p>
        </w:tc>
        <w:tc>
          <w:tcPr>
            <w:tcW w:type="dxa" w:w="7625"/>
          </w:tcPr>
          <w:p>
            <w:pPr>
              <w:spacing w:after="0"/>
            </w:pPr>
            <w:r/>
            <w:r>
              <w:rPr>
                <w:rFonts w:ascii="Microsoft YaHei" w:hAnsi="Microsoft YaHei" w:eastAsia="Microsoft YaHei"/>
                <w:b w:val="0"/>
              </w:rPr>
              <w:t>世界模型的正式生产输入、传统模型校准数据和 GWM 训练/验证数据，必须由客户或主管部门提供权威真实数据。</w:t>
            </w:r>
          </w:p>
        </w:tc>
      </w:tr>
      <w:tr>
        <w:tc>
          <w:tcPr>
            <w:tcW w:type="dxa" w:w="7625"/>
            <w:shd w:fill="D9EAF7"/>
          </w:tcPr>
          <w:p>
            <w:pPr>
              <w:spacing w:after="0"/>
            </w:pPr>
            <w:r/>
            <w:r>
              <w:rPr>
                <w:rFonts w:ascii="Microsoft YaHei" w:hAnsi="Microsoft YaHei" w:eastAsia="Microsoft YaHei"/>
                <w:b/>
                <w:color w:val="1F4E78"/>
              </w:rPr>
              <w:t>测试数据原则</w:t>
            </w:r>
          </w:p>
        </w:tc>
        <w:tc>
          <w:tcPr>
            <w:tcW w:type="dxa" w:w="7625"/>
          </w:tcPr>
          <w:p>
            <w:pPr>
              <w:spacing w:after="0"/>
            </w:pPr>
            <w:r/>
            <w:r>
              <w:rPr>
                <w:rFonts w:ascii="Microsoft YaHei" w:hAnsi="Microsoft YaHei" w:eastAsia="Microsoft YaHei"/>
                <w:b w:val="0"/>
              </w:rPr>
              <w:t>当前公开数据、SmartMakani 候选数据、合成数据和公开再分析数据只用于测试数据管线、格式检查、诊断敏感性和缺口识别，不作为生产数据。</w:t>
            </w:r>
          </w:p>
        </w:tc>
      </w:tr>
      <w:tr>
        <w:tc>
          <w:tcPr>
            <w:tcW w:type="dxa" w:w="7625"/>
            <w:shd w:fill="D9EAF7"/>
          </w:tcPr>
          <w:p>
            <w:pPr>
              <w:spacing w:after="0"/>
            </w:pPr>
            <w:r/>
            <w:r>
              <w:rPr>
                <w:rFonts w:ascii="Microsoft YaHei" w:hAnsi="Microsoft YaHei" w:eastAsia="Microsoft YaHei"/>
                <w:b/>
                <w:color w:val="1F4E78"/>
              </w:rPr>
              <w:t>准入原则</w:t>
            </w:r>
          </w:p>
        </w:tc>
        <w:tc>
          <w:tcPr>
            <w:tcW w:type="dxa" w:w="7625"/>
          </w:tcPr>
          <w:p>
            <w:pPr>
              <w:spacing w:after="0"/>
            </w:pPr>
            <w:r/>
            <w:r>
              <w:rPr>
                <w:rFonts w:ascii="Microsoft YaHei" w:hAnsi="Microsoft YaHei" w:eastAsia="Microsoft YaHei"/>
                <w:b w:val="0"/>
              </w:rPr>
              <w:t>文件收到不等于模型准入。每项数据必须通过来源、版本、时间、CRS/垂直基准、单位、质量标识、空间覆盖、哈希和一致性验收。</w:t>
            </w:r>
          </w:p>
        </w:tc>
      </w:tr>
    </w:tbl>
    <w:p/>
    <w:p>
      <w:pPr>
        <w:pStyle w:val="Heading1"/>
      </w:pPr>
      <w:r>
        <w:rPr>
          <w:rFonts w:ascii="Microsoft YaHei" w:hAnsi="Microsoft YaHei" w:eastAsia="Microsoft YaHei"/>
        </w:rPr>
        <w:t>1. 交付结论</w:t>
      </w:r>
    </w:p>
    <w:p>
      <w:pPr>
        <w:spacing w:after="120" w:line="276" w:lineRule="auto"/>
      </w:pPr>
      <w:r>
        <w:rPr>
          <w:rFonts w:ascii="Microsoft YaHei" w:hAnsi="Microsoft YaHei" w:eastAsia="Microsoft YaHei"/>
        </w:rPr>
        <w:t>本说明书不是要求客户提供可公开下载的替代数据，而是将阿布扎比城市暴雨内涝世界模型所需的权威真实数据逐项登记，便于客户按数据包交付。当前使用的 CHIRPS、SmartMakani、Copernicus/SRTM、OSM、公开边界和受限遥感目录等，只是测试或参考证据。正式模型不会因为这些测试数据存在而自动打开任何准入 gate。</w:t>
      </w:r>
    </w:p>
    <w:tbl>
      <w:tblPr>
        <w:tblStyle w:val="TableGrid"/>
        <w:tblW w:type="auto" w:w="0"/>
        <w:jc w:val="center"/>
        <w:tblLook w:firstColumn="1" w:firstRow="1" w:lastColumn="0" w:lastRow="0" w:noHBand="0" w:noVBand="1" w:val="04A0"/>
      </w:tblPr>
      <w:tblGrid>
        <w:gridCol w:w="7625"/>
        <w:gridCol w:w="7625"/>
      </w:tblGrid>
      <w:tr>
        <w:tc>
          <w:tcPr>
            <w:tcW w:type="dxa" w:w="2268"/>
            <w:shd w:fill="1F4E78"/>
            <w:vAlign w:val="center"/>
          </w:tcPr>
          <w:p>
            <w:pPr>
              <w:spacing w:after="0"/>
            </w:pPr>
            <w:r/>
            <w:r>
              <w:rPr>
                <w:rFonts w:ascii="Microsoft YaHei" w:hAnsi="Microsoft YaHei" w:eastAsia="Microsoft YaHei"/>
                <w:b/>
                <w:color w:val="FFFFFF"/>
              </w:rPr>
              <w:t>项目</w:t>
            </w:r>
          </w:p>
        </w:tc>
        <w:tc>
          <w:tcPr>
            <w:tcW w:type="dxa" w:w="12472"/>
            <w:shd w:fill="1F4E78"/>
            <w:vAlign w:val="center"/>
          </w:tcPr>
          <w:p>
            <w:pPr>
              <w:spacing w:after="0"/>
            </w:pPr>
            <w:r/>
            <w:r>
              <w:rPr>
                <w:rFonts w:ascii="Microsoft YaHei" w:hAnsi="Microsoft YaHei" w:eastAsia="Microsoft YaHei"/>
                <w:b/>
                <w:color w:val="FFFFFF"/>
              </w:rPr>
              <w:t>当前情况</w:t>
            </w:r>
          </w:p>
        </w:tc>
      </w:tr>
      <w:tr>
        <w:tc>
          <w:tcPr>
            <w:tcW w:type="dxa" w:w="2268"/>
            <w:vAlign w:val="top"/>
            <w:shd w:fill="EEF5FB"/>
          </w:tcPr>
          <w:p>
            <w:pPr>
              <w:spacing w:after="0"/>
            </w:pPr>
            <w:r/>
            <w:r>
              <w:rPr>
                <w:rFonts w:ascii="Microsoft YaHei" w:hAnsi="Microsoft YaHei" w:eastAsia="Microsoft YaHei"/>
                <w:b w:val="0"/>
              </w:rPr>
              <w:t>需求总数</w:t>
            </w:r>
          </w:p>
        </w:tc>
        <w:tc>
          <w:tcPr>
            <w:tcW w:type="dxa" w:w="12472"/>
            <w:vAlign w:val="top"/>
            <w:shd w:fill="EEF5FB"/>
          </w:tcPr>
          <w:p>
            <w:pPr>
              <w:spacing w:after="0"/>
            </w:pPr>
            <w:r/>
            <w:r>
              <w:rPr>
                <w:rFonts w:ascii="Microsoft YaHei" w:hAnsi="Microsoft YaHei" w:eastAsia="Microsoft YaHei"/>
                <w:b w:val="0"/>
              </w:rPr>
              <w:t>12 项</w:t>
            </w:r>
          </w:p>
        </w:tc>
      </w:tr>
      <w:tr>
        <w:tc>
          <w:tcPr>
            <w:tcW w:type="dxa" w:w="2268"/>
            <w:vAlign w:val="top"/>
          </w:tcPr>
          <w:p>
            <w:pPr>
              <w:spacing w:after="0"/>
            </w:pPr>
            <w:r/>
            <w:r>
              <w:rPr>
                <w:rFonts w:ascii="Microsoft YaHei" w:hAnsi="Microsoft YaHei" w:eastAsia="Microsoft YaHei"/>
                <w:b w:val="0"/>
              </w:rPr>
              <w:t>P0 必须先提供</w:t>
            </w:r>
          </w:p>
        </w:tc>
        <w:tc>
          <w:tcPr>
            <w:tcW w:type="dxa" w:w="12472"/>
            <w:vAlign w:val="top"/>
          </w:tcPr>
          <w:p>
            <w:pPr>
              <w:spacing w:after="0"/>
            </w:pPr>
            <w:r/>
            <w:r>
              <w:rPr>
                <w:rFonts w:ascii="Microsoft YaHei" w:hAnsi="Microsoft YaHei" w:eastAsia="Microsoft YaHei"/>
                <w:b w:val="0"/>
              </w:rPr>
              <w:t>6 项：地形、管网、事件雨量、潮位外边界、泵闸运行、积水观测</w:t>
            </w:r>
          </w:p>
        </w:tc>
      </w:tr>
      <w:tr>
        <w:tc>
          <w:tcPr>
            <w:tcW w:type="dxa" w:w="2268"/>
            <w:vAlign w:val="top"/>
            <w:shd w:fill="EEF5FB"/>
          </w:tcPr>
          <w:p>
            <w:pPr>
              <w:spacing w:after="0"/>
            </w:pPr>
            <w:r/>
            <w:r>
              <w:rPr>
                <w:rFonts w:ascii="Microsoft YaHei" w:hAnsi="Microsoft YaHei" w:eastAsia="Microsoft YaHei"/>
                <w:b w:val="0"/>
              </w:rPr>
              <w:t>P1 后续提供</w:t>
            </w:r>
          </w:p>
        </w:tc>
        <w:tc>
          <w:tcPr>
            <w:tcW w:type="dxa" w:w="12472"/>
            <w:vAlign w:val="top"/>
            <w:shd w:fill="EEF5FB"/>
          </w:tcPr>
          <w:p>
            <w:pPr>
              <w:spacing w:after="0"/>
            </w:pPr>
            <w:r/>
            <w:r>
              <w:rPr>
                <w:rFonts w:ascii="Microsoft YaHei" w:hAnsi="Microsoft YaHei" w:eastAsia="Microsoft YaHei"/>
                <w:b w:val="0"/>
              </w:rPr>
              <w:t>5 项：空间叠加、Liveability 暴露、土地覆盖入渗、道路障碍、历史事件/设计暴雨</w:t>
            </w:r>
          </w:p>
        </w:tc>
      </w:tr>
      <w:tr>
        <w:tc>
          <w:tcPr>
            <w:tcW w:type="dxa" w:w="2268"/>
            <w:vAlign w:val="top"/>
          </w:tcPr>
          <w:p>
            <w:pPr>
              <w:spacing w:after="0"/>
            </w:pPr>
            <w:r/>
            <w:r>
              <w:rPr>
                <w:rFonts w:ascii="Microsoft YaHei" w:hAnsi="Microsoft YaHei" w:eastAsia="Microsoft YaHei"/>
                <w:b w:val="0"/>
              </w:rPr>
              <w:t>P2 增强项</w:t>
            </w:r>
          </w:p>
        </w:tc>
        <w:tc>
          <w:tcPr>
            <w:tcW w:type="dxa" w:w="12472"/>
            <w:vAlign w:val="top"/>
          </w:tcPr>
          <w:p>
            <w:pPr>
              <w:spacing w:after="0"/>
            </w:pPr>
            <w:r/>
            <w:r>
              <w:rPr>
                <w:rFonts w:ascii="Microsoft YaHei" w:hAnsi="Microsoft YaHei" w:eastAsia="Microsoft YaHei"/>
                <w:b w:val="0"/>
              </w:rPr>
              <w:t>1 项：维护、堵塞和设施状态历史</w:t>
            </w:r>
          </w:p>
        </w:tc>
      </w:tr>
      <w:tr>
        <w:tc>
          <w:tcPr>
            <w:tcW w:type="dxa" w:w="2268"/>
            <w:vAlign w:val="top"/>
            <w:shd w:fill="EEF5FB"/>
          </w:tcPr>
          <w:p>
            <w:pPr>
              <w:spacing w:after="0"/>
            </w:pPr>
            <w:r/>
            <w:r>
              <w:rPr>
                <w:rFonts w:ascii="Microsoft YaHei" w:hAnsi="Microsoft YaHei" w:eastAsia="Microsoft YaHei"/>
                <w:b w:val="0"/>
              </w:rPr>
              <w:t>当前客户权威数据</w:t>
            </w:r>
          </w:p>
        </w:tc>
        <w:tc>
          <w:tcPr>
            <w:tcW w:type="dxa" w:w="12472"/>
            <w:vAlign w:val="top"/>
            <w:shd w:fill="EEF5FB"/>
          </w:tcPr>
          <w:p>
            <w:pPr>
              <w:spacing w:after="0"/>
            </w:pPr>
            <w:r/>
            <w:r>
              <w:rPr>
                <w:rFonts w:ascii="Microsoft YaHei" w:hAnsi="Microsoft YaHei" w:eastAsia="Microsoft YaHei"/>
                <w:b w:val="0"/>
              </w:rPr>
              <w:t>尚未收到；所有 12 项均保持待客户提供</w:t>
            </w:r>
          </w:p>
        </w:tc>
      </w:tr>
    </w:tbl>
    <w:p/>
    <w:p>
      <w:pPr>
        <w:pStyle w:val="Heading1"/>
      </w:pPr>
      <w:r>
        <w:rPr>
          <w:rFonts w:ascii="Microsoft YaHei" w:hAnsi="Microsoft YaHei" w:eastAsia="Microsoft YaHei"/>
        </w:rPr>
        <w:t>2. 当前技术架构与模型分工</w:t>
      </w:r>
    </w:p>
    <w:p>
      <w:pPr>
        <w:spacing w:after="120" w:line="276" w:lineRule="auto"/>
      </w:pPr>
      <w:r>
        <w:rPr>
          <w:rFonts w:ascii="Microsoft YaHei" w:hAnsi="Microsoft YaHei" w:eastAsia="Microsoft YaHei"/>
        </w:rPr>
        <w:t>技术架构采用“传统物理模型负责可信边界，GWM 负责快速状态代理和情景筛选”的协作方式。传统模型不会被当前 GWM 直接替代。只有在完成客户权威数据验收、传统模型事件校准、跨事件盲测和 GWM 影子验证后，GWM 才能承担部分高成本内循环搜索或快速预报任务。</w:t>
      </w:r>
    </w:p>
    <w:tbl>
      <w:tblPr>
        <w:tblStyle w:val="TableGrid"/>
        <w:tblW w:type="auto" w:w="0"/>
        <w:jc w:val="center"/>
        <w:tblLook w:firstColumn="1" w:firstRow="1" w:lastColumn="0" w:lastRow="0" w:noHBand="0" w:noVBand="1" w:val="04A0"/>
      </w:tblPr>
      <w:tblGrid>
        <w:gridCol w:w="3812"/>
        <w:gridCol w:w="3812"/>
        <w:gridCol w:w="3812"/>
        <w:gridCol w:w="3812"/>
      </w:tblGrid>
      <w:tr>
        <w:tc>
          <w:tcPr>
            <w:tcW w:type="dxa" w:w="1814"/>
            <w:shd w:fill="1F4E78"/>
            <w:vAlign w:val="center"/>
          </w:tcPr>
          <w:p>
            <w:pPr>
              <w:spacing w:after="0"/>
            </w:pPr>
            <w:r/>
            <w:r>
              <w:rPr>
                <w:rFonts w:ascii="Microsoft YaHei" w:hAnsi="Microsoft YaHei" w:eastAsia="Microsoft YaHei"/>
                <w:b/>
                <w:color w:val="FFFFFF"/>
              </w:rPr>
              <w:t>模型/层</w:t>
            </w:r>
          </w:p>
        </w:tc>
        <w:tc>
          <w:tcPr>
            <w:tcW w:type="dxa" w:w="3969"/>
            <w:shd w:fill="1F4E78"/>
            <w:vAlign w:val="center"/>
          </w:tcPr>
          <w:p>
            <w:pPr>
              <w:spacing w:after="0"/>
            </w:pPr>
            <w:r/>
            <w:r>
              <w:rPr>
                <w:rFonts w:ascii="Microsoft YaHei" w:hAnsi="Microsoft YaHei" w:eastAsia="Microsoft YaHei"/>
                <w:b/>
                <w:color w:val="FFFFFF"/>
              </w:rPr>
              <w:t>职责</w:t>
            </w:r>
          </w:p>
        </w:tc>
        <w:tc>
          <w:tcPr>
            <w:tcW w:type="dxa" w:w="4819"/>
            <w:shd w:fill="1F4E78"/>
            <w:vAlign w:val="center"/>
          </w:tcPr>
          <w:p>
            <w:pPr>
              <w:spacing w:after="0"/>
            </w:pPr>
            <w:r/>
            <w:r>
              <w:rPr>
                <w:rFonts w:ascii="Microsoft YaHei" w:hAnsi="Microsoft YaHei" w:eastAsia="Microsoft YaHei"/>
                <w:b/>
                <w:color w:val="FFFFFF"/>
              </w:rPr>
              <w:t>关键客户数据</w:t>
            </w:r>
          </w:p>
        </w:tc>
        <w:tc>
          <w:tcPr>
            <w:tcW w:type="dxa" w:w="2835"/>
            <w:shd w:fill="1F4E78"/>
            <w:vAlign w:val="center"/>
          </w:tcPr>
          <w:p>
            <w:pPr>
              <w:spacing w:after="0"/>
            </w:pPr>
            <w:r/>
            <w:r>
              <w:rPr>
                <w:rFonts w:ascii="Microsoft YaHei" w:hAnsi="Microsoft YaHei" w:eastAsia="Microsoft YaHei"/>
                <w:b/>
                <w:color w:val="FFFFFF"/>
              </w:rPr>
              <w:t>当前状态</w:t>
            </w:r>
          </w:p>
        </w:tc>
      </w:tr>
      <w:tr>
        <w:tc>
          <w:tcPr>
            <w:tcW w:type="dxa" w:w="1814"/>
            <w:vAlign w:val="top"/>
            <w:shd w:fill="EEF5FB"/>
          </w:tcPr>
          <w:p>
            <w:pPr>
              <w:spacing w:after="0"/>
            </w:pPr>
            <w:r/>
            <w:r>
              <w:rPr>
                <w:rFonts w:ascii="Microsoft YaHei" w:hAnsi="Microsoft YaHei" w:eastAsia="Microsoft YaHei"/>
                <w:b w:val="0"/>
              </w:rPr>
              <w:t>EPA SWMM 5.2.4</w:t>
            </w:r>
          </w:p>
        </w:tc>
        <w:tc>
          <w:tcPr>
            <w:tcW w:type="dxa" w:w="3969"/>
            <w:vAlign w:val="top"/>
            <w:shd w:fill="EEF5FB"/>
          </w:tcPr>
          <w:p>
            <w:pPr>
              <w:spacing w:after="0"/>
            </w:pPr>
            <w:r/>
            <w:r>
              <w:rPr>
                <w:rFonts w:ascii="Microsoft YaHei" w:hAnsi="Microsoft YaHei" w:eastAsia="Microsoft YaHei"/>
                <w:b w:val="0"/>
              </w:rPr>
              <w:t>一维雨水管网、产流、节点、管段、泵闸、外排边界和质量守恒基线。</w:t>
            </w:r>
          </w:p>
        </w:tc>
        <w:tc>
          <w:tcPr>
            <w:tcW w:type="dxa" w:w="4819"/>
            <w:vAlign w:val="top"/>
            <w:shd w:fill="EEF5FB"/>
          </w:tcPr>
          <w:p>
            <w:pPr>
              <w:spacing w:after="0"/>
            </w:pPr>
            <w:r/>
            <w:r>
              <w:rPr>
                <w:rFonts w:ascii="Microsoft YaHei" w:hAnsi="Microsoft YaHei" w:eastAsia="Microsoft YaHei"/>
                <w:b w:val="0"/>
              </w:rPr>
              <w:t>权威管网和设施关系、事件雨量、泵闸运行、潮位/外排边界。</w:t>
            </w:r>
          </w:p>
        </w:tc>
        <w:tc>
          <w:tcPr>
            <w:tcW w:type="dxa" w:w="2835"/>
            <w:vAlign w:val="top"/>
            <w:shd w:fill="EEF5FB"/>
          </w:tcPr>
          <w:p>
            <w:pPr>
              <w:spacing w:after="0"/>
            </w:pPr>
            <w:r/>
            <w:r>
              <w:rPr>
                <w:rFonts w:ascii="Microsoft YaHei" w:hAnsi="Microsoft YaHei" w:eastAsia="Microsoft YaHei"/>
                <w:b w:val="0"/>
              </w:rPr>
              <w:t>传统物理基线；当前未准入。</w:t>
            </w:r>
          </w:p>
        </w:tc>
      </w:tr>
      <w:tr>
        <w:tc>
          <w:tcPr>
            <w:tcW w:type="dxa" w:w="1814"/>
            <w:vAlign w:val="top"/>
          </w:tcPr>
          <w:p>
            <w:pPr>
              <w:spacing w:after="0"/>
            </w:pPr>
            <w:r/>
            <w:r>
              <w:rPr>
                <w:rFonts w:ascii="Microsoft YaHei" w:hAnsi="Microsoft YaHei" w:eastAsia="Microsoft YaHei"/>
                <w:b w:val="0"/>
              </w:rPr>
              <w:t>ANUGA 2D</w:t>
            </w:r>
          </w:p>
        </w:tc>
        <w:tc>
          <w:tcPr>
            <w:tcW w:type="dxa" w:w="3969"/>
            <w:vAlign w:val="top"/>
          </w:tcPr>
          <w:p>
            <w:pPr>
              <w:spacing w:after="0"/>
            </w:pPr>
            <w:r/>
            <w:r>
              <w:rPr>
                <w:rFonts w:ascii="Microsoft YaHei" w:hAnsi="Microsoft YaHei" w:eastAsia="Microsoft YaHei"/>
                <w:b w:val="0"/>
              </w:rPr>
              <w:t>二维地表浅水、道路低点、建筑/路缘障碍、积水扩散和退水。</w:t>
            </w:r>
          </w:p>
        </w:tc>
        <w:tc>
          <w:tcPr>
            <w:tcW w:type="dxa" w:w="4819"/>
            <w:vAlign w:val="top"/>
          </w:tcPr>
          <w:p>
            <w:pPr>
              <w:spacing w:after="0"/>
            </w:pPr>
            <w:r/>
            <w:r>
              <w:rPr>
                <w:rFonts w:ascii="Microsoft YaHei" w:hAnsi="Microsoft YaHei" w:eastAsia="Microsoft YaHei"/>
                <w:b w:val="0"/>
              </w:rPr>
              <w:t>工程 DTM/LiDAR、微地形、面雨量、边界和观测。</w:t>
            </w:r>
          </w:p>
        </w:tc>
        <w:tc>
          <w:tcPr>
            <w:tcW w:type="dxa" w:w="2835"/>
            <w:vAlign w:val="top"/>
          </w:tcPr>
          <w:p>
            <w:pPr>
              <w:spacing w:after="0"/>
            </w:pPr>
            <w:r/>
            <w:r>
              <w:rPr>
                <w:rFonts w:ascii="Microsoft YaHei" w:hAnsi="Microsoft YaHei" w:eastAsia="Microsoft YaHei"/>
                <w:b w:val="0"/>
              </w:rPr>
              <w:t>传统物理基线；当前仅候选诊断。</w:t>
            </w:r>
          </w:p>
        </w:tc>
      </w:tr>
      <w:tr>
        <w:tc>
          <w:tcPr>
            <w:tcW w:type="dxa" w:w="1814"/>
            <w:vAlign w:val="top"/>
            <w:shd w:fill="EEF5FB"/>
          </w:tcPr>
          <w:p>
            <w:pPr>
              <w:spacing w:after="0"/>
            </w:pPr>
            <w:r/>
            <w:r>
              <w:rPr>
                <w:rFonts w:ascii="Microsoft YaHei" w:hAnsi="Microsoft YaHei" w:eastAsia="Microsoft YaHei"/>
                <w:b w:val="0"/>
              </w:rPr>
              <w:t>LISFLOOD-FP</w:t>
            </w:r>
          </w:p>
        </w:tc>
        <w:tc>
          <w:tcPr>
            <w:tcW w:type="dxa" w:w="3969"/>
            <w:vAlign w:val="top"/>
            <w:shd w:fill="EEF5FB"/>
          </w:tcPr>
          <w:p>
            <w:pPr>
              <w:spacing w:after="0"/>
            </w:pPr>
            <w:r/>
            <w:r>
              <w:rPr>
                <w:rFonts w:ascii="Microsoft YaHei" w:hAnsi="Microsoft YaHei" w:eastAsia="Microsoft YaHei"/>
                <w:b w:val="0"/>
              </w:rPr>
              <w:t>独立二维诊断和交叉检查。</w:t>
            </w:r>
          </w:p>
        </w:tc>
        <w:tc>
          <w:tcPr>
            <w:tcW w:type="dxa" w:w="4819"/>
            <w:vAlign w:val="top"/>
            <w:shd w:fill="EEF5FB"/>
          </w:tcPr>
          <w:p>
            <w:pPr>
              <w:spacing w:after="0"/>
            </w:pPr>
            <w:r/>
            <w:r>
              <w:rPr>
                <w:rFonts w:ascii="Microsoft YaHei" w:hAnsi="Microsoft YaHei" w:eastAsia="Microsoft YaHei"/>
                <w:b w:val="0"/>
              </w:rPr>
              <w:t>工程地形、降雨、边界和阻力参数。</w:t>
            </w:r>
          </w:p>
        </w:tc>
        <w:tc>
          <w:tcPr>
            <w:tcW w:type="dxa" w:w="2835"/>
            <w:vAlign w:val="top"/>
            <w:shd w:fill="EEF5FB"/>
          </w:tcPr>
          <w:p>
            <w:pPr>
              <w:spacing w:after="0"/>
            </w:pPr>
            <w:r/>
            <w:r>
              <w:rPr>
                <w:rFonts w:ascii="Microsoft YaHei" w:hAnsi="Microsoft YaHei" w:eastAsia="Microsoft YaHei"/>
                <w:b w:val="0"/>
              </w:rPr>
              <w:t>诊断候选，不作为唯一依据。</w:t>
            </w:r>
          </w:p>
        </w:tc>
      </w:tr>
      <w:tr>
        <w:tc>
          <w:tcPr>
            <w:tcW w:type="dxa" w:w="1814"/>
            <w:vAlign w:val="top"/>
          </w:tcPr>
          <w:p>
            <w:pPr>
              <w:spacing w:after="0"/>
            </w:pPr>
            <w:r/>
            <w:r>
              <w:rPr>
                <w:rFonts w:ascii="Microsoft YaHei" w:hAnsi="Microsoft YaHei" w:eastAsia="Microsoft YaHei"/>
                <w:b w:val="0"/>
              </w:rPr>
              <w:t>GWM</w:t>
            </w:r>
          </w:p>
        </w:tc>
        <w:tc>
          <w:tcPr>
            <w:tcW w:type="dxa" w:w="3969"/>
            <w:vAlign w:val="top"/>
          </w:tcPr>
          <w:p>
            <w:pPr>
              <w:spacing w:after="0"/>
            </w:pPr>
            <w:r/>
            <w:r>
              <w:rPr>
                <w:rFonts w:ascii="Microsoft YaHei" w:hAnsi="Microsoft YaHei" w:eastAsia="Microsoft YaHei"/>
                <w:b w:val="0"/>
              </w:rPr>
              <w:t>学习已验收的“强迫—传统模型状态—观测证据”关系，提供快速滚动、不确定性和分布偏移检测。</w:t>
            </w:r>
          </w:p>
        </w:tc>
        <w:tc>
          <w:tcPr>
            <w:tcW w:type="dxa" w:w="4819"/>
            <w:vAlign w:val="top"/>
          </w:tcPr>
          <w:p>
            <w:pPr>
              <w:spacing w:after="0"/>
            </w:pPr>
            <w:r/>
            <w:r>
              <w:rPr>
                <w:rFonts w:ascii="Microsoft YaHei" w:hAnsi="Microsoft YaHei" w:eastAsia="Microsoft YaHei"/>
                <w:b w:val="0"/>
              </w:rPr>
              <w:t>已验收观测事件、已准入传统模型滚动、操作历史。</w:t>
            </w:r>
          </w:p>
        </w:tc>
        <w:tc>
          <w:tcPr>
            <w:tcW w:type="dxa" w:w="2835"/>
            <w:vAlign w:val="top"/>
          </w:tcPr>
          <w:p>
            <w:pPr>
              <w:spacing w:after="0"/>
            </w:pPr>
            <w:r/>
            <w:r>
              <w:rPr>
                <w:rFonts w:ascii="Microsoft YaHei" w:hAnsi="Microsoft YaHei" w:eastAsia="Microsoft YaHei"/>
                <w:b w:val="0"/>
              </w:rPr>
              <w:t>训练关闭；不得作为唯一物理权威。</w:t>
            </w:r>
          </w:p>
        </w:tc>
      </w:tr>
      <w:tr>
        <w:tc>
          <w:tcPr>
            <w:tcW w:type="dxa" w:w="1814"/>
            <w:vAlign w:val="top"/>
            <w:shd w:fill="EEF5FB"/>
          </w:tcPr>
          <w:p>
            <w:pPr>
              <w:spacing w:after="0"/>
            </w:pPr>
            <w:r/>
            <w:r>
              <w:rPr>
                <w:rFonts w:ascii="Microsoft YaHei" w:hAnsi="Microsoft YaHei" w:eastAsia="Microsoft YaHei"/>
                <w:b w:val="0"/>
              </w:rPr>
              <w:t>混合规划器</w:t>
            </w:r>
          </w:p>
        </w:tc>
        <w:tc>
          <w:tcPr>
            <w:tcW w:type="dxa" w:w="3969"/>
            <w:vAlign w:val="top"/>
            <w:shd w:fill="EEF5FB"/>
          </w:tcPr>
          <w:p>
            <w:pPr>
              <w:spacing w:after="0"/>
            </w:pPr>
            <w:r/>
            <w:r>
              <w:rPr>
                <w:rFonts w:ascii="Microsoft YaHei" w:hAnsi="Microsoft YaHei" w:eastAsia="Microsoft YaHei"/>
                <w:b w:val="0"/>
              </w:rPr>
              <w:t>由 GWM 先筛选候选行动，再由传统模型复核质量守恒、边界和资产约束。</w:t>
            </w:r>
          </w:p>
        </w:tc>
        <w:tc>
          <w:tcPr>
            <w:tcW w:type="dxa" w:w="4819"/>
            <w:vAlign w:val="top"/>
            <w:shd w:fill="EEF5FB"/>
          </w:tcPr>
          <w:p>
            <w:pPr>
              <w:spacing w:after="0"/>
            </w:pPr>
            <w:r/>
            <w:r>
              <w:rPr>
                <w:rFonts w:ascii="Microsoft YaHei" w:hAnsi="Microsoft YaHei" w:eastAsia="Microsoft YaHei"/>
                <w:b w:val="0"/>
              </w:rPr>
              <w:t>资产动作边界、泵闸规则、传统模型复核结果。</w:t>
            </w:r>
          </w:p>
        </w:tc>
        <w:tc>
          <w:tcPr>
            <w:tcW w:type="dxa" w:w="2835"/>
            <w:vAlign w:val="top"/>
            <w:shd w:fill="EEF5FB"/>
          </w:tcPr>
          <w:p>
            <w:pPr>
              <w:spacing w:after="0"/>
            </w:pPr>
            <w:r/>
            <w:r>
              <w:rPr>
                <w:rFonts w:ascii="Microsoft YaHei" w:hAnsi="Microsoft YaHei" w:eastAsia="Microsoft YaHei"/>
                <w:b w:val="0"/>
              </w:rPr>
              <w:t>仅架构合同，未执行。</w:t>
            </w:r>
          </w:p>
        </w:tc>
      </w:tr>
    </w:tbl>
    <w:p/>
    <w:p>
      <w:pPr>
        <w:pStyle w:val="Heading1"/>
      </w:pPr>
      <w:r>
        <w:rPr>
          <w:rFonts w:ascii="Microsoft YaHei" w:hAnsi="Microsoft YaHei" w:eastAsia="Microsoft YaHei"/>
        </w:rPr>
        <w:t>3. 客户权威数据需求</w:t>
      </w:r>
    </w:p>
    <w:p>
      <w:pPr>
        <w:spacing w:after="120" w:line="276" w:lineRule="auto"/>
      </w:pPr>
      <w:r>
        <w:rPr>
          <w:rFonts w:ascii="Microsoft YaHei" w:hAnsi="Microsoft YaHei" w:eastAsia="Microsoft YaHei"/>
        </w:rPr>
        <w:t>下表是 Excel 清单的摘要。完整字段、时间分辨率、空间要求和验收检查请以随附 Excel 的“权威数据需求清单”页为准。</w:t>
      </w:r>
    </w:p>
    <w:tbl>
      <w:tblPr>
        <w:tblStyle w:val="TableGrid"/>
        <w:tblW w:type="auto" w:w="0"/>
        <w:jc w:val="center"/>
        <w:tblLook w:firstColumn="1" w:firstRow="1" w:lastColumn="0" w:lastRow="0" w:noHBand="0" w:noVBand="1" w:val="04A0"/>
      </w:tblPr>
      <w:tblGrid>
        <w:gridCol w:w="2542"/>
        <w:gridCol w:w="2542"/>
        <w:gridCol w:w="2542"/>
        <w:gridCol w:w="2542"/>
        <w:gridCol w:w="2542"/>
        <w:gridCol w:w="2542"/>
      </w:tblGrid>
      <w:tr>
        <w:tc>
          <w:tcPr>
            <w:tcW w:type="dxa" w:w="850"/>
            <w:shd w:fill="1F4E78"/>
            <w:vAlign w:val="center"/>
          </w:tcPr>
          <w:p>
            <w:pPr>
              <w:spacing w:after="0"/>
            </w:pPr>
            <w:r/>
            <w:r>
              <w:rPr>
                <w:rFonts w:ascii="Microsoft YaHei" w:hAnsi="Microsoft YaHei" w:eastAsia="Microsoft YaHei"/>
                <w:b/>
                <w:color w:val="FFFFFF"/>
              </w:rPr>
              <w:t>优先级</w:t>
            </w:r>
          </w:p>
        </w:tc>
        <w:tc>
          <w:tcPr>
            <w:tcW w:type="dxa" w:w="1814"/>
            <w:shd w:fill="1F4E78"/>
            <w:vAlign w:val="center"/>
          </w:tcPr>
          <w:p>
            <w:pPr>
              <w:spacing w:after="0"/>
            </w:pPr>
            <w:r/>
            <w:r>
              <w:rPr>
                <w:rFonts w:ascii="Microsoft YaHei" w:hAnsi="Microsoft YaHei" w:eastAsia="Microsoft YaHei"/>
                <w:b/>
                <w:color w:val="FFFFFF"/>
              </w:rPr>
              <w:t>数据包 ID</w:t>
            </w:r>
          </w:p>
        </w:tc>
        <w:tc>
          <w:tcPr>
            <w:tcW w:type="dxa" w:w="2268"/>
            <w:shd w:fill="1F4E78"/>
            <w:vAlign w:val="center"/>
          </w:tcPr>
          <w:p>
            <w:pPr>
              <w:spacing w:after="0"/>
            </w:pPr>
            <w:r/>
            <w:r>
              <w:rPr>
                <w:rFonts w:ascii="Microsoft YaHei" w:hAnsi="Microsoft YaHei" w:eastAsia="Microsoft YaHei"/>
                <w:b/>
                <w:color w:val="FFFFFF"/>
              </w:rPr>
              <w:t>客户责任方</w:t>
            </w:r>
          </w:p>
        </w:tc>
        <w:tc>
          <w:tcPr>
            <w:tcW w:type="dxa" w:w="3969"/>
            <w:shd w:fill="1F4E78"/>
            <w:vAlign w:val="center"/>
          </w:tcPr>
          <w:p>
            <w:pPr>
              <w:spacing w:after="0"/>
            </w:pPr>
            <w:r/>
            <w:r>
              <w:rPr>
                <w:rFonts w:ascii="Microsoft YaHei" w:hAnsi="Microsoft YaHei" w:eastAsia="Microsoft YaHei"/>
                <w:b/>
                <w:color w:val="FFFFFF"/>
              </w:rPr>
              <w:t>最低交付内容</w:t>
            </w:r>
          </w:p>
        </w:tc>
        <w:tc>
          <w:tcPr>
            <w:tcW w:type="dxa" w:w="2835"/>
            <w:shd w:fill="1F4E78"/>
            <w:vAlign w:val="center"/>
          </w:tcPr>
          <w:p>
            <w:pPr>
              <w:spacing w:after="0"/>
            </w:pPr>
            <w:r/>
            <w:r>
              <w:rPr>
                <w:rFonts w:ascii="Microsoft YaHei" w:hAnsi="Microsoft YaHei" w:eastAsia="Microsoft YaHei"/>
                <w:b/>
                <w:color w:val="FFFFFF"/>
              </w:rPr>
              <w:t>模型用途</w:t>
            </w:r>
          </w:p>
        </w:tc>
        <w:tc>
          <w:tcPr>
            <w:tcW w:type="dxa" w:w="1134"/>
            <w:shd w:fill="1F4E78"/>
            <w:vAlign w:val="center"/>
          </w:tcPr>
          <w:p>
            <w:pPr>
              <w:spacing w:after="0"/>
            </w:pPr>
            <w:r/>
            <w:r>
              <w:rPr>
                <w:rFonts w:ascii="Microsoft YaHei" w:hAnsi="Microsoft YaHei" w:eastAsia="Microsoft YaHei"/>
                <w:b/>
                <w:color w:val="FFFFFF"/>
              </w:rPr>
              <w:t>状态</w:t>
            </w:r>
          </w:p>
        </w:tc>
      </w:tr>
      <w:tr>
        <w:tc>
          <w:tcPr>
            <w:tcW w:type="dxa" w:w="850"/>
            <w:vAlign w:val="top"/>
            <w:shd w:fill="EEF5FB"/>
          </w:tcPr>
          <w:p>
            <w:pPr>
              <w:spacing w:after="0"/>
            </w:pPr>
            <w:r/>
            <w:r>
              <w:rPr>
                <w:rFonts w:ascii="Microsoft YaHei" w:hAnsi="Microsoft YaHei" w:eastAsia="Microsoft YaHei"/>
                <w:b w:val="0"/>
              </w:rPr>
              <w:t>P0</w:t>
            </w:r>
          </w:p>
        </w:tc>
        <w:tc>
          <w:tcPr>
            <w:tcW w:type="dxa" w:w="1814"/>
            <w:vAlign w:val="top"/>
            <w:shd w:fill="EEF5FB"/>
          </w:tcPr>
          <w:p>
            <w:pPr>
              <w:spacing w:after="0"/>
            </w:pPr>
            <w:r/>
            <w:r>
              <w:rPr>
                <w:rFonts w:ascii="Microsoft YaHei" w:hAnsi="Microsoft YaHei" w:eastAsia="Microsoft YaHei"/>
                <w:b w:val="0"/>
              </w:rPr>
              <w:t>engineering-surface-vertical-datum</w:t>
            </w:r>
          </w:p>
        </w:tc>
        <w:tc>
          <w:tcPr>
            <w:tcW w:type="dxa" w:w="2268"/>
            <w:vAlign w:val="top"/>
            <w:shd w:fill="EEF5FB"/>
          </w:tcPr>
          <w:p>
            <w:pPr>
              <w:spacing w:after="0"/>
            </w:pPr>
            <w:r/>
            <w:r>
              <w:rPr>
                <w:rFonts w:ascii="Microsoft YaHei" w:hAnsi="Microsoft YaHei" w:eastAsia="Microsoft YaHei"/>
                <w:b w:val="0"/>
              </w:rPr>
              <w:t>DMT or municipal GIS/survey engineering owner</w:t>
            </w:r>
          </w:p>
        </w:tc>
        <w:tc>
          <w:tcPr>
            <w:tcW w:type="dxa" w:w="3969"/>
            <w:vAlign w:val="top"/>
            <w:shd w:fill="EEF5FB"/>
          </w:tcPr>
          <w:p>
            <w:pPr>
              <w:spacing w:after="0"/>
            </w:pPr>
            <w:r/>
            <w:r>
              <w:rPr>
                <w:rFonts w:ascii="Microsoft YaHei" w:hAnsi="Microsoft YaHei" w:eastAsia="Microsoft YaHei"/>
                <w:b w:val="0"/>
              </w:rPr>
              <w:t>Engineering DTM/LiDAR or surveyed surface covering the study area, plus vertical control and breaklines.</w:t>
            </w:r>
          </w:p>
        </w:tc>
        <w:tc>
          <w:tcPr>
            <w:tcW w:type="dxa" w:w="2835"/>
            <w:vAlign w:val="top"/>
            <w:shd w:fill="EEF5FB"/>
          </w:tcPr>
          <w:p>
            <w:pPr>
              <w:spacing w:after="0"/>
            </w:pPr>
            <w:r/>
            <w:r>
              <w:rPr>
                <w:rFonts w:ascii="Microsoft YaHei" w:hAnsi="Microsoft YaHei" w:eastAsia="Microsoft YaHei"/>
                <w:b w:val="0"/>
              </w:rPr>
              <w:t>ANUGA 2D terrain；surface routing；road low points；depth calibration</w:t>
            </w:r>
          </w:p>
        </w:tc>
        <w:tc>
          <w:tcPr>
            <w:tcW w:type="dxa" w:w="1134"/>
            <w:vAlign w:val="top"/>
            <w:shd w:fill="EEF5FB"/>
          </w:tcPr>
          <w:p>
            <w:pPr>
              <w:spacing w:after="0"/>
            </w:pPr>
            <w:r/>
            <w:r>
              <w:rPr>
                <w:rFonts w:ascii="Microsoft YaHei" w:hAnsi="Microsoft YaHei" w:eastAsia="Microsoft YaHei"/>
                <w:b w:val="0"/>
              </w:rPr>
              <w:t>待客户提供</w:t>
            </w:r>
          </w:p>
        </w:tc>
      </w:tr>
      <w:tr>
        <w:tc>
          <w:tcPr>
            <w:tcW w:type="dxa" w:w="850"/>
            <w:vAlign w:val="top"/>
          </w:tcPr>
          <w:p>
            <w:pPr>
              <w:spacing w:after="0"/>
            </w:pPr>
            <w:r/>
            <w:r>
              <w:rPr>
                <w:rFonts w:ascii="Microsoft YaHei" w:hAnsi="Microsoft YaHei" w:eastAsia="Microsoft YaHei"/>
                <w:b w:val="0"/>
              </w:rPr>
              <w:t>P0</w:t>
            </w:r>
          </w:p>
        </w:tc>
        <w:tc>
          <w:tcPr>
            <w:tcW w:type="dxa" w:w="1814"/>
            <w:vAlign w:val="top"/>
          </w:tcPr>
          <w:p>
            <w:pPr>
              <w:spacing w:after="0"/>
            </w:pPr>
            <w:r/>
            <w:r>
              <w:rPr>
                <w:rFonts w:ascii="Microsoft YaHei" w:hAnsi="Microsoft YaHei" w:eastAsia="Microsoft YaHei"/>
                <w:b w:val="0"/>
              </w:rPr>
              <w:t>drainage-network-topology-units</w:t>
            </w:r>
          </w:p>
        </w:tc>
        <w:tc>
          <w:tcPr>
            <w:tcW w:type="dxa" w:w="2268"/>
            <w:vAlign w:val="top"/>
          </w:tcPr>
          <w:p>
            <w:pPr>
              <w:spacing w:after="0"/>
            </w:pPr>
            <w:r/>
            <w:r>
              <w:rPr>
                <w:rFonts w:ascii="Microsoft YaHei" w:hAnsi="Microsoft YaHei" w:eastAsia="Microsoft YaHei"/>
                <w:b w:val="0"/>
              </w:rPr>
              <w:t>Stormwater asset and drainage operations owner</w:t>
            </w:r>
          </w:p>
        </w:tc>
        <w:tc>
          <w:tcPr>
            <w:tcW w:type="dxa" w:w="3969"/>
            <w:vAlign w:val="top"/>
          </w:tcPr>
          <w:p>
            <w:pPr>
              <w:spacing w:after="0"/>
            </w:pPr>
            <w:r/>
            <w:r>
              <w:rPr>
                <w:rFonts w:ascii="Microsoft YaHei" w:hAnsi="Microsoft YaHei" w:eastAsia="Microsoft YaHei"/>
                <w:b w:val="0"/>
              </w:rPr>
              <w:t>Versioned network inventory with engineering units and deterministic identity relationships.</w:t>
            </w:r>
          </w:p>
        </w:tc>
        <w:tc>
          <w:tcPr>
            <w:tcW w:type="dxa" w:w="2835"/>
            <w:vAlign w:val="top"/>
          </w:tcPr>
          <w:p>
            <w:pPr>
              <w:spacing w:after="0"/>
            </w:pPr>
            <w:r/>
            <w:r>
              <w:rPr>
                <w:rFonts w:ascii="Microsoft YaHei" w:hAnsi="Microsoft YaHei" w:eastAsia="Microsoft YaHei"/>
                <w:b w:val="0"/>
              </w:rPr>
              <w:t>EPA SWMM 5.2.4；SWMM-ANUGA exchange graph；GWM graph state</w:t>
            </w:r>
          </w:p>
        </w:tc>
        <w:tc>
          <w:tcPr>
            <w:tcW w:type="dxa" w:w="1134"/>
            <w:vAlign w:val="top"/>
          </w:tcPr>
          <w:p>
            <w:pPr>
              <w:spacing w:after="0"/>
            </w:pPr>
            <w:r/>
            <w:r>
              <w:rPr>
                <w:rFonts w:ascii="Microsoft YaHei" w:hAnsi="Microsoft YaHei" w:eastAsia="Microsoft YaHei"/>
                <w:b w:val="0"/>
              </w:rPr>
              <w:t>待客户提供</w:t>
            </w:r>
          </w:p>
        </w:tc>
      </w:tr>
      <w:tr>
        <w:tc>
          <w:tcPr>
            <w:tcW w:type="dxa" w:w="850"/>
            <w:vAlign w:val="top"/>
            <w:shd w:fill="EEF5FB"/>
          </w:tcPr>
          <w:p>
            <w:pPr>
              <w:spacing w:after="0"/>
            </w:pPr>
            <w:r/>
            <w:r>
              <w:rPr>
                <w:rFonts w:ascii="Microsoft YaHei" w:hAnsi="Microsoft YaHei" w:eastAsia="Microsoft YaHei"/>
                <w:b w:val="0"/>
              </w:rPr>
              <w:t>P0</w:t>
            </w:r>
          </w:p>
        </w:tc>
        <w:tc>
          <w:tcPr>
            <w:tcW w:type="dxa" w:w="1814"/>
            <w:vAlign w:val="top"/>
            <w:shd w:fill="EEF5FB"/>
          </w:tcPr>
          <w:p>
            <w:pPr>
              <w:spacing w:after="0"/>
            </w:pPr>
            <w:r/>
            <w:r>
              <w:rPr>
                <w:rFonts w:ascii="Microsoft YaHei" w:hAnsi="Microsoft YaHei" w:eastAsia="Microsoft YaHei"/>
                <w:b w:val="0"/>
              </w:rPr>
              <w:t>event-rainfall-forcing</w:t>
            </w:r>
          </w:p>
        </w:tc>
        <w:tc>
          <w:tcPr>
            <w:tcW w:type="dxa" w:w="2268"/>
            <w:vAlign w:val="top"/>
            <w:shd w:fill="EEF5FB"/>
          </w:tcPr>
          <w:p>
            <w:pPr>
              <w:spacing w:after="0"/>
            </w:pPr>
            <w:r/>
            <w:r>
              <w:rPr>
                <w:rFonts w:ascii="Microsoft YaHei" w:hAnsi="Microsoft YaHei" w:eastAsia="Microsoft YaHei"/>
                <w:b w:val="0"/>
              </w:rPr>
              <w:t>NCM or customer-authorized meteorology owner</w:t>
            </w:r>
          </w:p>
        </w:tc>
        <w:tc>
          <w:tcPr>
            <w:tcW w:type="dxa" w:w="3969"/>
            <w:vAlign w:val="top"/>
            <w:shd w:fill="EEF5FB"/>
          </w:tcPr>
          <w:p>
            <w:pPr>
              <w:spacing w:after="0"/>
            </w:pPr>
            <w:r/>
            <w:r>
              <w:rPr>
                <w:rFonts w:ascii="Microsoft YaHei" w:hAnsi="Microsoft YaHei" w:eastAsia="Microsoft YaHei"/>
                <w:b w:val="0"/>
              </w:rPr>
              <w:t>Rain gauge and/or radar QPE for the target event plus at least one independent validation event.</w:t>
            </w:r>
          </w:p>
        </w:tc>
        <w:tc>
          <w:tcPr>
            <w:tcW w:type="dxa" w:w="2835"/>
            <w:vAlign w:val="top"/>
            <w:shd w:fill="EEF5FB"/>
          </w:tcPr>
          <w:p>
            <w:pPr>
              <w:spacing w:after="0"/>
            </w:pPr>
            <w:r/>
            <w:r>
              <w:rPr>
                <w:rFonts w:ascii="Microsoft YaHei" w:hAnsi="Microsoft YaHei" w:eastAsia="Microsoft YaHei"/>
                <w:b w:val="0"/>
              </w:rPr>
              <w:t>SWMM rainfall；ANUGA spatial forcing；event calibration；blind validation；GWM forcing encoder</w:t>
            </w:r>
          </w:p>
        </w:tc>
        <w:tc>
          <w:tcPr>
            <w:tcW w:type="dxa" w:w="1134"/>
            <w:vAlign w:val="top"/>
            <w:shd w:fill="EEF5FB"/>
          </w:tcPr>
          <w:p>
            <w:pPr>
              <w:spacing w:after="0"/>
            </w:pPr>
            <w:r/>
            <w:r>
              <w:rPr>
                <w:rFonts w:ascii="Microsoft YaHei" w:hAnsi="Microsoft YaHei" w:eastAsia="Microsoft YaHei"/>
                <w:b w:val="0"/>
              </w:rPr>
              <w:t>待客户提供</w:t>
            </w:r>
          </w:p>
        </w:tc>
      </w:tr>
      <w:tr>
        <w:tc>
          <w:tcPr>
            <w:tcW w:type="dxa" w:w="850"/>
            <w:vAlign w:val="top"/>
          </w:tcPr>
          <w:p>
            <w:pPr>
              <w:spacing w:after="0"/>
            </w:pPr>
            <w:r/>
            <w:r>
              <w:rPr>
                <w:rFonts w:ascii="Microsoft YaHei" w:hAnsi="Microsoft YaHei" w:eastAsia="Microsoft YaHei"/>
                <w:b w:val="0"/>
              </w:rPr>
              <w:t>P0</w:t>
            </w:r>
          </w:p>
        </w:tc>
        <w:tc>
          <w:tcPr>
            <w:tcW w:type="dxa" w:w="1814"/>
            <w:vAlign w:val="top"/>
          </w:tcPr>
          <w:p>
            <w:pPr>
              <w:spacing w:after="0"/>
            </w:pPr>
            <w:r/>
            <w:r>
              <w:rPr>
                <w:rFonts w:ascii="Microsoft YaHei" w:hAnsi="Microsoft YaHei" w:eastAsia="Microsoft YaHei"/>
                <w:b w:val="0"/>
              </w:rPr>
              <w:t>coastal-boundary-time-series</w:t>
            </w:r>
          </w:p>
        </w:tc>
        <w:tc>
          <w:tcPr>
            <w:tcW w:type="dxa" w:w="2268"/>
            <w:vAlign w:val="top"/>
          </w:tcPr>
          <w:p>
            <w:pPr>
              <w:spacing w:after="0"/>
            </w:pPr>
            <w:r/>
            <w:r>
              <w:rPr>
                <w:rFonts w:ascii="Microsoft YaHei" w:hAnsi="Microsoft YaHei" w:eastAsia="Microsoft YaHei"/>
                <w:b w:val="0"/>
              </w:rPr>
              <w:t>DMT/coastal authority, port operator or tide-gauge owner</w:t>
            </w:r>
          </w:p>
        </w:tc>
        <w:tc>
          <w:tcPr>
            <w:tcW w:type="dxa" w:w="3969"/>
            <w:vAlign w:val="top"/>
          </w:tcPr>
          <w:p>
            <w:pPr>
              <w:spacing w:after="0"/>
            </w:pPr>
            <w:r/>
            <w:r>
              <w:rPr>
                <w:rFonts w:ascii="Microsoft YaHei" w:hAnsi="Microsoft YaHei" w:eastAsia="Microsoft YaHei"/>
                <w:b w:val="0"/>
              </w:rPr>
              <w:t>Observed or authoritative hindcast water levels at applicable outfalls for the event and validation event.</w:t>
            </w:r>
          </w:p>
        </w:tc>
        <w:tc>
          <w:tcPr>
            <w:tcW w:type="dxa" w:w="2835"/>
            <w:vAlign w:val="top"/>
          </w:tcPr>
          <w:p>
            <w:pPr>
              <w:spacing w:after="0"/>
            </w:pPr>
            <w:r/>
            <w:r>
              <w:rPr>
                <w:rFonts w:ascii="Microsoft YaHei" w:hAnsi="Microsoft YaHei" w:eastAsia="Microsoft YaHei"/>
                <w:b w:val="0"/>
              </w:rPr>
              <w:t>SWMM outfall boundary；backwater；coastal coupling；recession timing</w:t>
            </w:r>
          </w:p>
        </w:tc>
        <w:tc>
          <w:tcPr>
            <w:tcW w:type="dxa" w:w="1134"/>
            <w:vAlign w:val="top"/>
          </w:tcPr>
          <w:p>
            <w:pPr>
              <w:spacing w:after="0"/>
            </w:pPr>
            <w:r/>
            <w:r>
              <w:rPr>
                <w:rFonts w:ascii="Microsoft YaHei" w:hAnsi="Microsoft YaHei" w:eastAsia="Microsoft YaHei"/>
                <w:b w:val="0"/>
              </w:rPr>
              <w:t>待客户提供</w:t>
            </w:r>
          </w:p>
        </w:tc>
      </w:tr>
      <w:tr>
        <w:tc>
          <w:tcPr>
            <w:tcW w:type="dxa" w:w="850"/>
            <w:vAlign w:val="top"/>
            <w:shd w:fill="EEF5FB"/>
          </w:tcPr>
          <w:p>
            <w:pPr>
              <w:spacing w:after="0"/>
            </w:pPr>
            <w:r/>
            <w:r>
              <w:rPr>
                <w:rFonts w:ascii="Microsoft YaHei" w:hAnsi="Microsoft YaHei" w:eastAsia="Microsoft YaHei"/>
                <w:b w:val="0"/>
              </w:rPr>
              <w:t>P0</w:t>
            </w:r>
          </w:p>
        </w:tc>
        <w:tc>
          <w:tcPr>
            <w:tcW w:type="dxa" w:w="1814"/>
            <w:vAlign w:val="top"/>
            <w:shd w:fill="EEF5FB"/>
          </w:tcPr>
          <w:p>
            <w:pPr>
              <w:spacing w:after="0"/>
            </w:pPr>
            <w:r/>
            <w:r>
              <w:rPr>
                <w:rFonts w:ascii="Microsoft YaHei" w:hAnsi="Microsoft YaHei" w:eastAsia="Microsoft YaHei"/>
                <w:b w:val="0"/>
              </w:rPr>
              <w:t>pump-gate-operation-history</w:t>
            </w:r>
          </w:p>
        </w:tc>
        <w:tc>
          <w:tcPr>
            <w:tcW w:type="dxa" w:w="2268"/>
            <w:vAlign w:val="top"/>
            <w:shd w:fill="EEF5FB"/>
          </w:tcPr>
          <w:p>
            <w:pPr>
              <w:spacing w:after="0"/>
            </w:pPr>
            <w:r/>
            <w:r>
              <w:rPr>
                <w:rFonts w:ascii="Microsoft YaHei" w:hAnsi="Microsoft YaHei" w:eastAsia="Microsoft YaHei"/>
                <w:b w:val="0"/>
              </w:rPr>
              <w:t>Stormwater operations, SCADA and maintenance owner</w:t>
            </w:r>
          </w:p>
        </w:tc>
        <w:tc>
          <w:tcPr>
            <w:tcW w:type="dxa" w:w="3969"/>
            <w:vAlign w:val="top"/>
            <w:shd w:fill="EEF5FB"/>
          </w:tcPr>
          <w:p>
            <w:pPr>
              <w:spacing w:after="0"/>
            </w:pPr>
            <w:r/>
            <w:r>
              <w:rPr>
                <w:rFonts w:ascii="Microsoft YaHei" w:hAnsi="Microsoft YaHei" w:eastAsia="Microsoft YaHei"/>
                <w:b w:val="0"/>
              </w:rPr>
              <w:t>Event-aligned controls and measured response for pumps, gates, storage and outfalls.</w:t>
            </w:r>
          </w:p>
        </w:tc>
        <w:tc>
          <w:tcPr>
            <w:tcW w:type="dxa" w:w="2835"/>
            <w:vAlign w:val="top"/>
            <w:shd w:fill="EEF5FB"/>
          </w:tcPr>
          <w:p>
            <w:pPr>
              <w:spacing w:after="0"/>
            </w:pPr>
            <w:r/>
            <w:r>
              <w:rPr>
                <w:rFonts w:ascii="Microsoft YaHei" w:hAnsi="Microsoft YaHei" w:eastAsia="Microsoft YaHei"/>
                <w:b w:val="0"/>
              </w:rPr>
              <w:t>SWMM controls；hybrid planner；counterfactual actions；GWM action encoder</w:t>
            </w:r>
          </w:p>
        </w:tc>
        <w:tc>
          <w:tcPr>
            <w:tcW w:type="dxa" w:w="1134"/>
            <w:vAlign w:val="top"/>
            <w:shd w:fill="EEF5FB"/>
          </w:tcPr>
          <w:p>
            <w:pPr>
              <w:spacing w:after="0"/>
            </w:pPr>
            <w:r/>
            <w:r>
              <w:rPr>
                <w:rFonts w:ascii="Microsoft YaHei" w:hAnsi="Microsoft YaHei" w:eastAsia="Microsoft YaHei"/>
                <w:b w:val="0"/>
              </w:rPr>
              <w:t>待客户提供</w:t>
            </w:r>
          </w:p>
        </w:tc>
      </w:tr>
      <w:tr>
        <w:tc>
          <w:tcPr>
            <w:tcW w:type="dxa" w:w="850"/>
            <w:vAlign w:val="top"/>
          </w:tcPr>
          <w:p>
            <w:pPr>
              <w:spacing w:after="0"/>
            </w:pPr>
            <w:r/>
            <w:r>
              <w:rPr>
                <w:rFonts w:ascii="Microsoft YaHei" w:hAnsi="Microsoft YaHei" w:eastAsia="Microsoft YaHei"/>
                <w:b w:val="0"/>
              </w:rPr>
              <w:t>P0</w:t>
            </w:r>
          </w:p>
        </w:tc>
        <w:tc>
          <w:tcPr>
            <w:tcW w:type="dxa" w:w="1814"/>
            <w:vAlign w:val="top"/>
          </w:tcPr>
          <w:p>
            <w:pPr>
              <w:spacing w:after="0"/>
            </w:pPr>
            <w:r/>
            <w:r>
              <w:rPr>
                <w:rFonts w:ascii="Microsoft YaHei" w:hAnsi="Microsoft YaHei" w:eastAsia="Microsoft YaHei"/>
                <w:b w:val="0"/>
              </w:rPr>
              <w:t>timed-inundation-observations</w:t>
            </w:r>
          </w:p>
        </w:tc>
        <w:tc>
          <w:tcPr>
            <w:tcW w:type="dxa" w:w="2268"/>
            <w:vAlign w:val="top"/>
          </w:tcPr>
          <w:p>
            <w:pPr>
              <w:spacing w:after="0"/>
            </w:pPr>
            <w:r/>
            <w:r>
              <w:rPr>
                <w:rFonts w:ascii="Microsoft YaHei" w:hAnsi="Microsoft YaHei" w:eastAsia="Microsoft YaHei"/>
                <w:b w:val="0"/>
              </w:rPr>
              <w:t>DMT, municipality, emergency response, roads and transport operations</w:t>
            </w:r>
          </w:p>
        </w:tc>
        <w:tc>
          <w:tcPr>
            <w:tcW w:type="dxa" w:w="3969"/>
            <w:vAlign w:val="top"/>
          </w:tcPr>
          <w:p>
            <w:pPr>
              <w:spacing w:after="0"/>
            </w:pPr>
            <w:r/>
            <w:r>
              <w:rPr>
                <w:rFonts w:ascii="Microsoft YaHei" w:hAnsi="Microsoft YaHei" w:eastAsia="Microsoft YaHei"/>
                <w:b w:val="0"/>
              </w:rPr>
              <w:t>Timestamped observations for model calibration and independent holdout validation.</w:t>
            </w:r>
          </w:p>
        </w:tc>
        <w:tc>
          <w:tcPr>
            <w:tcW w:type="dxa" w:w="2835"/>
            <w:vAlign w:val="top"/>
          </w:tcPr>
          <w:p>
            <w:pPr>
              <w:spacing w:after="0"/>
            </w:pPr>
            <w:r/>
            <w:r>
              <w:rPr>
                <w:rFonts w:ascii="Microsoft YaHei" w:hAnsi="Microsoft YaHei" w:eastAsia="Microsoft YaHei"/>
                <w:b w:val="0"/>
              </w:rPr>
              <w:t>SWMM/ANUGA calibration；impact overlay；GWM training labels；blind validation</w:t>
            </w:r>
          </w:p>
        </w:tc>
        <w:tc>
          <w:tcPr>
            <w:tcW w:type="dxa" w:w="1134"/>
            <w:vAlign w:val="top"/>
          </w:tcPr>
          <w:p>
            <w:pPr>
              <w:spacing w:after="0"/>
            </w:pPr>
            <w:r/>
            <w:r>
              <w:rPr>
                <w:rFonts w:ascii="Microsoft YaHei" w:hAnsi="Microsoft YaHei" w:eastAsia="Microsoft YaHei"/>
                <w:b w:val="0"/>
              </w:rPr>
              <w:t>待客户提供</w:t>
            </w:r>
          </w:p>
        </w:tc>
      </w:tr>
      <w:tr>
        <w:tc>
          <w:tcPr>
            <w:tcW w:type="dxa" w:w="850"/>
            <w:vAlign w:val="top"/>
            <w:shd w:fill="EEF5FB"/>
          </w:tcPr>
          <w:p>
            <w:pPr>
              <w:spacing w:after="0"/>
            </w:pPr>
            <w:r/>
            <w:r>
              <w:rPr>
                <w:rFonts w:ascii="Microsoft YaHei" w:hAnsi="Microsoft YaHei" w:eastAsia="Microsoft YaHei"/>
                <w:b w:val="0"/>
              </w:rPr>
              <w:t>P1</w:t>
            </w:r>
          </w:p>
        </w:tc>
        <w:tc>
          <w:tcPr>
            <w:tcW w:type="dxa" w:w="1814"/>
            <w:vAlign w:val="top"/>
            <w:shd w:fill="EEF5FB"/>
          </w:tcPr>
          <w:p>
            <w:pPr>
              <w:spacing w:after="0"/>
            </w:pPr>
            <w:r/>
            <w:r>
              <w:rPr>
                <w:rFonts w:ascii="Microsoft YaHei" w:hAnsi="Microsoft YaHei" w:eastAsia="Microsoft YaHei"/>
                <w:b w:val="0"/>
              </w:rPr>
              <w:t>common-geography-overlay-rule</w:t>
            </w:r>
          </w:p>
        </w:tc>
        <w:tc>
          <w:tcPr>
            <w:tcW w:type="dxa" w:w="2268"/>
            <w:vAlign w:val="top"/>
            <w:shd w:fill="EEF5FB"/>
          </w:tcPr>
          <w:p>
            <w:pPr>
              <w:spacing w:after="0"/>
            </w:pPr>
            <w:r/>
            <w:r>
              <w:rPr>
                <w:rFonts w:ascii="Microsoft YaHei" w:hAnsi="Microsoft YaHei" w:eastAsia="Microsoft YaHei"/>
                <w:b w:val="0"/>
              </w:rPr>
              <w:t>GIS data governance owner</w:t>
            </w:r>
          </w:p>
        </w:tc>
        <w:tc>
          <w:tcPr>
            <w:tcW w:type="dxa" w:w="3969"/>
            <w:vAlign w:val="top"/>
            <w:shd w:fill="EEF5FB"/>
          </w:tcPr>
          <w:p>
            <w:pPr>
              <w:spacing w:after="0"/>
            </w:pPr>
            <w:r/>
            <w:r>
              <w:rPr>
                <w:rFonts w:ascii="Microsoft YaHei" w:hAnsi="Microsoft YaHei" w:eastAsia="Microsoft YaHei"/>
                <w:b w:val="0"/>
              </w:rPr>
              <w:t>Approved common spatial unit and deterministic overlay rules across drainage, inundation and liveability data.</w:t>
            </w:r>
          </w:p>
        </w:tc>
        <w:tc>
          <w:tcPr>
            <w:tcW w:type="dxa" w:w="2835"/>
            <w:vAlign w:val="top"/>
            <w:shd w:fill="EEF5FB"/>
          </w:tcPr>
          <w:p>
            <w:pPr>
              <w:spacing w:after="0"/>
            </w:pPr>
            <w:r/>
            <w:r>
              <w:rPr>
                <w:rFonts w:ascii="Microsoft YaHei" w:hAnsi="Microsoft YaHei" w:eastAsia="Microsoft YaHei"/>
                <w:b w:val="0"/>
              </w:rPr>
              <w:t>impact aggregation；district/facility joins；GWM spatial graph</w:t>
            </w:r>
          </w:p>
        </w:tc>
        <w:tc>
          <w:tcPr>
            <w:tcW w:type="dxa" w:w="1134"/>
            <w:vAlign w:val="top"/>
            <w:shd w:fill="EEF5FB"/>
          </w:tcPr>
          <w:p>
            <w:pPr>
              <w:spacing w:after="0"/>
            </w:pPr>
            <w:r/>
            <w:r>
              <w:rPr>
                <w:rFonts w:ascii="Microsoft YaHei" w:hAnsi="Microsoft YaHei" w:eastAsia="Microsoft YaHei"/>
                <w:b w:val="0"/>
              </w:rPr>
              <w:t>待客户提供</w:t>
            </w:r>
          </w:p>
        </w:tc>
      </w:tr>
      <w:tr>
        <w:tc>
          <w:tcPr>
            <w:tcW w:type="dxa" w:w="850"/>
            <w:vAlign w:val="top"/>
          </w:tcPr>
          <w:p>
            <w:pPr>
              <w:spacing w:after="0"/>
            </w:pPr>
            <w:r/>
            <w:r>
              <w:rPr>
                <w:rFonts w:ascii="Microsoft YaHei" w:hAnsi="Microsoft YaHei" w:eastAsia="Microsoft YaHei"/>
                <w:b w:val="0"/>
              </w:rPr>
              <w:t>P1</w:t>
            </w:r>
          </w:p>
        </w:tc>
        <w:tc>
          <w:tcPr>
            <w:tcW w:type="dxa" w:w="1814"/>
            <w:vAlign w:val="top"/>
          </w:tcPr>
          <w:p>
            <w:pPr>
              <w:spacing w:after="0"/>
            </w:pPr>
            <w:r/>
            <w:r>
              <w:rPr>
                <w:rFonts w:ascii="Microsoft YaHei" w:hAnsi="Microsoft YaHei" w:eastAsia="Microsoft YaHei"/>
                <w:b w:val="0"/>
              </w:rPr>
              <w:t>liveability-exposure-semantics</w:t>
            </w:r>
          </w:p>
        </w:tc>
        <w:tc>
          <w:tcPr>
            <w:tcW w:type="dxa" w:w="2268"/>
            <w:vAlign w:val="top"/>
          </w:tcPr>
          <w:p>
            <w:pPr>
              <w:spacing w:after="0"/>
            </w:pPr>
            <w:r/>
            <w:r>
              <w:rPr>
                <w:rFonts w:ascii="Microsoft YaHei" w:hAnsi="Microsoft YaHei" w:eastAsia="Microsoft YaHei"/>
                <w:b w:val="0"/>
              </w:rPr>
              <w:t>Liveability business data owner and privacy owner</w:t>
            </w:r>
          </w:p>
        </w:tc>
        <w:tc>
          <w:tcPr>
            <w:tcW w:type="dxa" w:w="3969"/>
            <w:vAlign w:val="top"/>
          </w:tcPr>
          <w:p>
            <w:pPr>
              <w:spacing w:after="0"/>
            </w:pPr>
            <w:r/>
            <w:r>
              <w:rPr>
                <w:rFonts w:ascii="Microsoft YaHei" w:hAnsi="Microsoft YaHei" w:eastAsia="Microsoft YaHei"/>
                <w:b w:val="0"/>
              </w:rPr>
              <w:t>Approved definitions and snapshot for population, facilities, roads, plots and priority scores.</w:t>
            </w:r>
          </w:p>
        </w:tc>
        <w:tc>
          <w:tcPr>
            <w:tcW w:type="dxa" w:w="2835"/>
            <w:vAlign w:val="top"/>
          </w:tcPr>
          <w:p>
            <w:pPr>
              <w:spacing w:after="0"/>
            </w:pPr>
            <w:r/>
            <w:r>
              <w:rPr>
                <w:rFonts w:ascii="Microsoft YaHei" w:hAnsi="Microsoft YaHei" w:eastAsia="Microsoft YaHei"/>
                <w:b w:val="0"/>
              </w:rPr>
              <w:t>exposure aggregation；critical-facility prioritization；decision support</w:t>
            </w:r>
          </w:p>
        </w:tc>
        <w:tc>
          <w:tcPr>
            <w:tcW w:type="dxa" w:w="1134"/>
            <w:vAlign w:val="top"/>
          </w:tcPr>
          <w:p>
            <w:pPr>
              <w:spacing w:after="0"/>
            </w:pPr>
            <w:r/>
            <w:r>
              <w:rPr>
                <w:rFonts w:ascii="Microsoft YaHei" w:hAnsi="Microsoft YaHei" w:eastAsia="Microsoft YaHei"/>
                <w:b w:val="0"/>
              </w:rPr>
              <w:t>待客户提供</w:t>
            </w:r>
          </w:p>
        </w:tc>
      </w:tr>
      <w:tr>
        <w:tc>
          <w:tcPr>
            <w:tcW w:type="dxa" w:w="850"/>
            <w:vAlign w:val="top"/>
            <w:shd w:fill="EEF5FB"/>
          </w:tcPr>
          <w:p>
            <w:pPr>
              <w:spacing w:after="0"/>
            </w:pPr>
            <w:r/>
            <w:r>
              <w:rPr>
                <w:rFonts w:ascii="Microsoft YaHei" w:hAnsi="Microsoft YaHei" w:eastAsia="Microsoft YaHei"/>
                <w:b w:val="0"/>
              </w:rPr>
              <w:t>P1</w:t>
            </w:r>
          </w:p>
        </w:tc>
        <w:tc>
          <w:tcPr>
            <w:tcW w:type="dxa" w:w="1814"/>
            <w:vAlign w:val="top"/>
            <w:shd w:fill="EEF5FB"/>
          </w:tcPr>
          <w:p>
            <w:pPr>
              <w:spacing w:after="0"/>
            </w:pPr>
            <w:r/>
            <w:r>
              <w:rPr>
                <w:rFonts w:ascii="Microsoft YaHei" w:hAnsi="Microsoft YaHei" w:eastAsia="Microsoft YaHei"/>
                <w:b w:val="0"/>
              </w:rPr>
              <w:t>landcover-infiltration-parameters</w:t>
            </w:r>
          </w:p>
        </w:tc>
        <w:tc>
          <w:tcPr>
            <w:tcW w:type="dxa" w:w="2268"/>
            <w:vAlign w:val="top"/>
            <w:shd w:fill="EEF5FB"/>
          </w:tcPr>
          <w:p>
            <w:pPr>
              <w:spacing w:after="0"/>
            </w:pPr>
            <w:r/>
            <w:r>
              <w:rPr>
                <w:rFonts w:ascii="Microsoft YaHei" w:hAnsi="Microsoft YaHei" w:eastAsia="Microsoft YaHei"/>
                <w:b w:val="0"/>
              </w:rPr>
              <w:t>DMT land-use/GIS owner and drainage model owner</w:t>
            </w:r>
          </w:p>
        </w:tc>
        <w:tc>
          <w:tcPr>
            <w:tcW w:type="dxa" w:w="3969"/>
            <w:vAlign w:val="top"/>
            <w:shd w:fill="EEF5FB"/>
          </w:tcPr>
          <w:p>
            <w:pPr>
              <w:spacing w:after="0"/>
            </w:pPr>
            <w:r/>
            <w:r>
              <w:rPr>
                <w:rFonts w:ascii="Microsoft YaHei" w:hAnsi="Microsoft YaHei" w:eastAsia="Microsoft YaHei"/>
                <w:b w:val="0"/>
              </w:rPr>
              <w:t>Land cover and imperviousness classes linked to infiltration and roughness parameters.</w:t>
            </w:r>
          </w:p>
        </w:tc>
        <w:tc>
          <w:tcPr>
            <w:tcW w:type="dxa" w:w="2835"/>
            <w:vAlign w:val="top"/>
            <w:shd w:fill="EEF5FB"/>
          </w:tcPr>
          <w:p>
            <w:pPr>
              <w:spacing w:after="0"/>
            </w:pPr>
            <w:r/>
            <w:r>
              <w:rPr>
                <w:rFonts w:ascii="Microsoft YaHei" w:hAnsi="Microsoft YaHei" w:eastAsia="Microsoft YaHei"/>
                <w:b w:val="0"/>
              </w:rPr>
              <w:t>SWMM runoff；ANUGA surface resistance；scenario changes</w:t>
            </w:r>
          </w:p>
        </w:tc>
        <w:tc>
          <w:tcPr>
            <w:tcW w:type="dxa" w:w="1134"/>
            <w:vAlign w:val="top"/>
            <w:shd w:fill="EEF5FB"/>
          </w:tcPr>
          <w:p>
            <w:pPr>
              <w:spacing w:after="0"/>
            </w:pPr>
            <w:r/>
            <w:r>
              <w:rPr>
                <w:rFonts w:ascii="Microsoft YaHei" w:hAnsi="Microsoft YaHei" w:eastAsia="Microsoft YaHei"/>
                <w:b w:val="0"/>
              </w:rPr>
              <w:t>待客户提供</w:t>
            </w:r>
          </w:p>
        </w:tc>
      </w:tr>
      <w:tr>
        <w:tc>
          <w:tcPr>
            <w:tcW w:type="dxa" w:w="850"/>
            <w:vAlign w:val="top"/>
          </w:tcPr>
          <w:p>
            <w:pPr>
              <w:spacing w:after="0"/>
            </w:pPr>
            <w:r/>
            <w:r>
              <w:rPr>
                <w:rFonts w:ascii="Microsoft YaHei" w:hAnsi="Microsoft YaHei" w:eastAsia="Microsoft YaHei"/>
                <w:b w:val="0"/>
              </w:rPr>
              <w:t>P1</w:t>
            </w:r>
          </w:p>
        </w:tc>
        <w:tc>
          <w:tcPr>
            <w:tcW w:type="dxa" w:w="1814"/>
            <w:vAlign w:val="top"/>
          </w:tcPr>
          <w:p>
            <w:pPr>
              <w:spacing w:after="0"/>
            </w:pPr>
            <w:r/>
            <w:r>
              <w:rPr>
                <w:rFonts w:ascii="Microsoft YaHei" w:hAnsi="Microsoft YaHei" w:eastAsia="Microsoft YaHei"/>
                <w:b w:val="0"/>
              </w:rPr>
              <w:t>roads-curbs-obstacles-buildings</w:t>
            </w:r>
          </w:p>
        </w:tc>
        <w:tc>
          <w:tcPr>
            <w:tcW w:type="dxa" w:w="2268"/>
            <w:vAlign w:val="top"/>
          </w:tcPr>
          <w:p>
            <w:pPr>
              <w:spacing w:after="0"/>
            </w:pPr>
            <w:r/>
            <w:r>
              <w:rPr>
                <w:rFonts w:ascii="Microsoft YaHei" w:hAnsi="Microsoft YaHei" w:eastAsia="Microsoft YaHei"/>
                <w:b w:val="0"/>
              </w:rPr>
              <w:t>DMT topography, roads and building GIS owners</w:t>
            </w:r>
          </w:p>
        </w:tc>
        <w:tc>
          <w:tcPr>
            <w:tcW w:type="dxa" w:w="3969"/>
            <w:vAlign w:val="top"/>
          </w:tcPr>
          <w:p>
            <w:pPr>
              <w:spacing w:after="0"/>
            </w:pPr>
            <w:r/>
            <w:r>
              <w:rPr>
                <w:rFonts w:ascii="Microsoft YaHei" w:hAnsi="Microsoft YaHei" w:eastAsia="Microsoft YaHei"/>
                <w:b w:val="0"/>
              </w:rPr>
              <w:t>Road surfaces, curbs, walls, embankments, building footprints/heights and verified low points.</w:t>
            </w:r>
          </w:p>
        </w:tc>
        <w:tc>
          <w:tcPr>
            <w:tcW w:type="dxa" w:w="2835"/>
            <w:vAlign w:val="top"/>
          </w:tcPr>
          <w:p>
            <w:pPr>
              <w:spacing w:after="0"/>
            </w:pPr>
            <w:r/>
            <w:r>
              <w:rPr>
                <w:rFonts w:ascii="Microsoft YaHei" w:hAnsi="Microsoft YaHei" w:eastAsia="Microsoft YaHei"/>
                <w:b w:val="0"/>
              </w:rPr>
              <w:t>ANUGA blocking；road impact；surface flow paths；building exposure</w:t>
            </w:r>
          </w:p>
        </w:tc>
        <w:tc>
          <w:tcPr>
            <w:tcW w:type="dxa" w:w="1134"/>
            <w:vAlign w:val="top"/>
          </w:tcPr>
          <w:p>
            <w:pPr>
              <w:spacing w:after="0"/>
            </w:pPr>
            <w:r/>
            <w:r>
              <w:rPr>
                <w:rFonts w:ascii="Microsoft YaHei" w:hAnsi="Microsoft YaHei" w:eastAsia="Microsoft YaHei"/>
                <w:b w:val="0"/>
              </w:rPr>
              <w:t>待客户提供</w:t>
            </w:r>
          </w:p>
        </w:tc>
      </w:tr>
      <w:tr>
        <w:tc>
          <w:tcPr>
            <w:tcW w:type="dxa" w:w="850"/>
            <w:vAlign w:val="top"/>
            <w:shd w:fill="EEF5FB"/>
          </w:tcPr>
          <w:p>
            <w:pPr>
              <w:spacing w:after="0"/>
            </w:pPr>
            <w:r/>
            <w:r>
              <w:rPr>
                <w:rFonts w:ascii="Microsoft YaHei" w:hAnsi="Microsoft YaHei" w:eastAsia="Microsoft YaHei"/>
                <w:b w:val="0"/>
              </w:rPr>
              <w:t>P1</w:t>
            </w:r>
          </w:p>
        </w:tc>
        <w:tc>
          <w:tcPr>
            <w:tcW w:type="dxa" w:w="1814"/>
            <w:vAlign w:val="top"/>
            <w:shd w:fill="EEF5FB"/>
          </w:tcPr>
          <w:p>
            <w:pPr>
              <w:spacing w:after="0"/>
            </w:pPr>
            <w:r/>
            <w:r>
              <w:rPr>
                <w:rFonts w:ascii="Microsoft YaHei" w:hAnsi="Microsoft YaHei" w:eastAsia="Microsoft YaHei"/>
                <w:b w:val="0"/>
              </w:rPr>
              <w:t>historical-events-design-storms</w:t>
            </w:r>
          </w:p>
        </w:tc>
        <w:tc>
          <w:tcPr>
            <w:tcW w:type="dxa" w:w="2268"/>
            <w:vAlign w:val="top"/>
            <w:shd w:fill="EEF5FB"/>
          </w:tcPr>
          <w:p>
            <w:pPr>
              <w:spacing w:after="0"/>
            </w:pPr>
            <w:r/>
            <w:r>
              <w:rPr>
                <w:rFonts w:ascii="Microsoft YaHei" w:hAnsi="Microsoft YaHei" w:eastAsia="Microsoft YaHei"/>
                <w:b w:val="0"/>
              </w:rPr>
              <w:t>NCM, drainage authority and planning/modeling owner</w:t>
            </w:r>
          </w:p>
        </w:tc>
        <w:tc>
          <w:tcPr>
            <w:tcW w:type="dxa" w:w="3969"/>
            <w:vAlign w:val="top"/>
            <w:shd w:fill="EEF5FB"/>
          </w:tcPr>
          <w:p>
            <w:pPr>
              <w:spacing w:after="0"/>
            </w:pPr>
            <w:r/>
            <w:r>
              <w:rPr>
                <w:rFonts w:ascii="Microsoft YaHei" w:hAnsi="Microsoft YaHei" w:eastAsia="Microsoft YaHei"/>
                <w:b w:val="0"/>
              </w:rPr>
              <w:t>Multiple historical rainfall/boundary/operation/impact events and approved design storm definitions.</w:t>
            </w:r>
          </w:p>
        </w:tc>
        <w:tc>
          <w:tcPr>
            <w:tcW w:type="dxa" w:w="2835"/>
            <w:vAlign w:val="top"/>
            <w:shd w:fill="EEF5FB"/>
          </w:tcPr>
          <w:p>
            <w:pPr>
              <w:spacing w:after="0"/>
            </w:pPr>
            <w:r/>
            <w:r>
              <w:rPr>
                <w:rFonts w:ascii="Microsoft YaHei" w:hAnsi="Microsoft YaHei" w:eastAsia="Microsoft YaHei"/>
                <w:b w:val="0"/>
              </w:rPr>
              <w:t>traditional-model calibration；GWM train/validation split；design and counterfactual scenarios</w:t>
            </w:r>
          </w:p>
        </w:tc>
        <w:tc>
          <w:tcPr>
            <w:tcW w:type="dxa" w:w="1134"/>
            <w:vAlign w:val="top"/>
            <w:shd w:fill="EEF5FB"/>
          </w:tcPr>
          <w:p>
            <w:pPr>
              <w:spacing w:after="0"/>
            </w:pPr>
            <w:r/>
            <w:r>
              <w:rPr>
                <w:rFonts w:ascii="Microsoft YaHei" w:hAnsi="Microsoft YaHei" w:eastAsia="Microsoft YaHei"/>
                <w:b w:val="0"/>
              </w:rPr>
              <w:t>待客户提供</w:t>
            </w:r>
          </w:p>
        </w:tc>
      </w:tr>
      <w:tr>
        <w:tc>
          <w:tcPr>
            <w:tcW w:type="dxa" w:w="850"/>
            <w:vAlign w:val="top"/>
          </w:tcPr>
          <w:p>
            <w:pPr>
              <w:spacing w:after="0"/>
            </w:pPr>
            <w:r/>
            <w:r>
              <w:rPr>
                <w:rFonts w:ascii="Microsoft YaHei" w:hAnsi="Microsoft YaHei" w:eastAsia="Microsoft YaHei"/>
                <w:b w:val="0"/>
              </w:rPr>
              <w:t>P2</w:t>
            </w:r>
          </w:p>
        </w:tc>
        <w:tc>
          <w:tcPr>
            <w:tcW w:type="dxa" w:w="1814"/>
            <w:vAlign w:val="top"/>
          </w:tcPr>
          <w:p>
            <w:pPr>
              <w:spacing w:after="0"/>
            </w:pPr>
            <w:r/>
            <w:r>
              <w:rPr>
                <w:rFonts w:ascii="Microsoft YaHei" w:hAnsi="Microsoft YaHei" w:eastAsia="Microsoft YaHei"/>
                <w:b w:val="0"/>
              </w:rPr>
              <w:t>maintenance-blockage-asset-condition</w:t>
            </w:r>
          </w:p>
        </w:tc>
        <w:tc>
          <w:tcPr>
            <w:tcW w:type="dxa" w:w="2268"/>
            <w:vAlign w:val="top"/>
          </w:tcPr>
          <w:p>
            <w:pPr>
              <w:spacing w:after="0"/>
            </w:pPr>
            <w:r/>
            <w:r>
              <w:rPr>
                <w:rFonts w:ascii="Microsoft YaHei" w:hAnsi="Microsoft YaHei" w:eastAsia="Microsoft YaHei"/>
                <w:b w:val="0"/>
              </w:rPr>
              <w:t>Drainage maintenance and work-order owner</w:t>
            </w:r>
          </w:p>
        </w:tc>
        <w:tc>
          <w:tcPr>
            <w:tcW w:type="dxa" w:w="3969"/>
            <w:vAlign w:val="top"/>
          </w:tcPr>
          <w:p>
            <w:pPr>
              <w:spacing w:after="0"/>
            </w:pPr>
            <w:r/>
            <w:r>
              <w:rPr>
                <w:rFonts w:ascii="Microsoft YaHei" w:hAnsi="Microsoft YaHei" w:eastAsia="Microsoft YaHei"/>
                <w:b w:val="0"/>
              </w:rPr>
              <w:t>Condition, blockage, cleaning and failure history for inlets, pipes, pumps and gates.</w:t>
            </w:r>
          </w:p>
        </w:tc>
        <w:tc>
          <w:tcPr>
            <w:tcW w:type="dxa" w:w="2835"/>
            <w:vAlign w:val="top"/>
          </w:tcPr>
          <w:p>
            <w:pPr>
              <w:spacing w:after="0"/>
            </w:pPr>
            <w:r/>
            <w:r>
              <w:rPr>
                <w:rFonts w:ascii="Microsoft YaHei" w:hAnsi="Microsoft YaHei" w:eastAsia="Microsoft YaHei"/>
                <w:b w:val="0"/>
              </w:rPr>
              <w:t>capacity uncertainty；failure scenarios；GWM action/state features</w:t>
            </w:r>
          </w:p>
        </w:tc>
        <w:tc>
          <w:tcPr>
            <w:tcW w:type="dxa" w:w="1134"/>
            <w:vAlign w:val="top"/>
          </w:tcPr>
          <w:p>
            <w:pPr>
              <w:spacing w:after="0"/>
            </w:pPr>
            <w:r/>
            <w:r>
              <w:rPr>
                <w:rFonts w:ascii="Microsoft YaHei" w:hAnsi="Microsoft YaHei" w:eastAsia="Microsoft YaHei"/>
                <w:b w:val="0"/>
              </w:rPr>
              <w:t>待客户提供</w:t>
            </w:r>
          </w:p>
        </w:tc>
      </w:tr>
    </w:tbl>
    <w:p/>
    <w:p>
      <w:pPr>
        <w:pStyle w:val="Heading1"/>
      </w:pPr>
      <w:r>
        <w:rPr>
          <w:rFonts w:ascii="Microsoft YaHei" w:hAnsi="Microsoft YaHei" w:eastAsia="Microsoft YaHei"/>
        </w:rPr>
        <w:t>4. 客户交付格式与元数据要求</w:t>
      </w:r>
    </w:p>
    <w:p>
      <w:pPr>
        <w:spacing w:after="120" w:line="276" w:lineRule="auto"/>
      </w:pPr>
      <w:r>
        <w:rPr>
          <w:rFonts w:ascii="Microsoft YaHei" w:hAnsi="Microsoft YaHei" w:eastAsia="Microsoft YaHei"/>
        </w:rPr>
        <w:t>客户可以按文件、数据库表或版本化快照交付。推荐使用 GeoTIFF/COG、GeoPackage、GeoJSON、CSV、Parquet、NetCDF、HDF5 或 ZIP；数据库交付需要同时提供快照标识和结构说明。</w:t>
      </w:r>
    </w:p>
    <w:p>
      <w:pPr>
        <w:pStyle w:val="ListBullet"/>
        <w:spacing w:after="60"/>
      </w:pPr>
      <w:r>
        <w:rPr>
          <w:rFonts w:ascii="Microsoft YaHei" w:hAnsi="Microsoft YaHei" w:eastAsia="Microsoft YaHei"/>
        </w:rPr>
        <w:t>每个数据包必须有明确的 source owner、版本或快照 ID、获取/有效时间、水平 CRS 或垂直基准、单位、质量标识、许可/复用授权和 SHA-256。</w:t>
      </w:r>
    </w:p>
    <w:p>
      <w:pPr>
        <w:pStyle w:val="ListBullet"/>
        <w:spacing w:after="60"/>
      </w:pPr>
      <w:r>
        <w:rPr>
          <w:rFonts w:ascii="Microsoft YaHei" w:hAnsi="Microsoft YaHei" w:eastAsia="Microsoft YaHei"/>
        </w:rPr>
        <w:t>所有事件时间统一使用 UTC；如果源系统使用阿布扎比本地时间，必须提供可复现的转换规则和时钟漂移说明。</w:t>
      </w:r>
    </w:p>
    <w:p>
      <w:pPr>
        <w:pStyle w:val="ListBullet"/>
        <w:spacing w:after="60"/>
      </w:pPr>
      <w:r>
        <w:rPr>
          <w:rFonts w:ascii="Microsoft YaHei" w:hAnsi="Microsoft YaHei" w:eastAsia="Microsoft YaHei"/>
        </w:rPr>
        <w:t>高程数据必须同时说明水平 CRS、垂直基准、椭球/大地水准面模型、NoData 规则和精度；不能只提供一个没有基准说明的 DEM。</w:t>
      </w:r>
    </w:p>
    <w:p>
      <w:pPr>
        <w:pStyle w:val="ListBullet"/>
        <w:spacing w:after="60"/>
      </w:pPr>
      <w:r>
        <w:rPr>
          <w:rFonts w:ascii="Microsoft YaHei" w:hAnsi="Microsoft YaHei" w:eastAsia="Microsoft YaHei"/>
        </w:rPr>
        <w:t>网络数据必须提供确定性的资产 ID、上下游关系、管径/断面、长度、管底高程、节点高程、泵闸/外排口关系和重复/孤立记录处理规则。</w:t>
      </w:r>
    </w:p>
    <w:p>
      <w:pPr>
        <w:pStyle w:val="ListBullet"/>
        <w:spacing w:after="60"/>
      </w:pPr>
      <w:r>
        <w:rPr>
          <w:rFonts w:ascii="Microsoft YaHei" w:hAnsi="Microsoft YaHei" w:eastAsia="Microsoft YaHei"/>
        </w:rPr>
        <w:t>观测数据必须保留原始值、质控值、质量标识和不确定性；训练/盲测划分由双方冻结，不能在训练过程中临时调整。</w:t>
      </w:r>
    </w:p>
    <w:p>
      <w:pPr>
        <w:spacing w:after="120" w:line="276" w:lineRule="auto"/>
      </w:pPr>
      <w:r>
        <w:rPr>
          <w:rFonts w:ascii="Microsoft YaHei" w:hAnsi="Microsoft YaHei" w:eastAsia="Microsoft YaHei"/>
        </w:rPr>
        <w:t>客户可以直接填写随附 Excel 的“客户交付填报模板”页：abu_dhabi_stormwater_world_model_authoritative_data_requirements.xlsx。</w:t>
      </w:r>
    </w:p>
    <w:p>
      <w:pPr>
        <w:pStyle w:val="Heading1"/>
      </w:pPr>
      <w:r>
        <w:rPr>
          <w:rFonts w:ascii="Microsoft YaHei" w:hAnsi="Microsoft YaHei" w:eastAsia="Microsoft YaHei"/>
        </w:rPr>
        <w:t>5. 数据验收与模型准入路径</w:t>
      </w:r>
    </w:p>
    <w:tbl>
      <w:tblPr>
        <w:tblStyle w:val="TableGrid"/>
        <w:tblW w:type="auto" w:w="0"/>
        <w:jc w:val="center"/>
        <w:tblLook w:firstColumn="1" w:firstRow="1" w:lastColumn="0" w:lastRow="0" w:noHBand="0" w:noVBand="1" w:val="04A0"/>
      </w:tblPr>
      <w:tblGrid>
        <w:gridCol w:w="5083"/>
        <w:gridCol w:w="5083"/>
        <w:gridCol w:w="5083"/>
      </w:tblGrid>
      <w:tr>
        <w:tc>
          <w:tcPr>
            <w:tcW w:type="dxa" w:w="1984"/>
            <w:shd w:fill="1F4E78"/>
            <w:vAlign w:val="center"/>
          </w:tcPr>
          <w:p>
            <w:pPr>
              <w:spacing w:after="0"/>
            </w:pPr>
            <w:r/>
            <w:r>
              <w:rPr>
                <w:rFonts w:ascii="Microsoft YaHei" w:hAnsi="Microsoft YaHei" w:eastAsia="Microsoft YaHei"/>
                <w:b/>
                <w:color w:val="FFFFFF"/>
              </w:rPr>
              <w:t>阶段</w:t>
            </w:r>
          </w:p>
        </w:tc>
        <w:tc>
          <w:tcPr>
            <w:tcW w:type="dxa" w:w="8220"/>
            <w:shd w:fill="1F4E78"/>
            <w:vAlign w:val="center"/>
          </w:tcPr>
          <w:p>
            <w:pPr>
              <w:spacing w:after="0"/>
            </w:pPr>
            <w:r/>
            <w:r>
              <w:rPr>
                <w:rFonts w:ascii="Microsoft YaHei" w:hAnsi="Microsoft YaHei" w:eastAsia="Microsoft YaHei"/>
                <w:b/>
                <w:color w:val="FFFFFF"/>
              </w:rPr>
              <w:t>工作内容</w:t>
            </w:r>
          </w:p>
        </w:tc>
        <w:tc>
          <w:tcPr>
            <w:tcW w:type="dxa" w:w="2835"/>
            <w:shd w:fill="1F4E78"/>
            <w:vAlign w:val="center"/>
          </w:tcPr>
          <w:p>
            <w:pPr>
              <w:spacing w:after="0"/>
            </w:pPr>
            <w:r/>
            <w:r>
              <w:rPr>
                <w:rFonts w:ascii="Microsoft YaHei" w:hAnsi="Microsoft YaHei" w:eastAsia="Microsoft YaHei"/>
                <w:b/>
                <w:color w:val="FFFFFF"/>
              </w:rPr>
              <w:t>准入影响</w:t>
            </w:r>
          </w:p>
        </w:tc>
      </w:tr>
      <w:tr>
        <w:tc>
          <w:tcPr>
            <w:tcW w:type="dxa" w:w="1984"/>
            <w:vAlign w:val="top"/>
            <w:shd w:fill="EEF5FB"/>
          </w:tcPr>
          <w:p>
            <w:pPr>
              <w:spacing w:after="0"/>
            </w:pPr>
            <w:r/>
            <w:r>
              <w:rPr>
                <w:rFonts w:ascii="Microsoft YaHei" w:hAnsi="Microsoft YaHei" w:eastAsia="Microsoft YaHei"/>
                <w:b w:val="0"/>
              </w:rPr>
              <w:t>1. 接收登记</w:t>
            </w:r>
          </w:p>
        </w:tc>
        <w:tc>
          <w:tcPr>
            <w:tcW w:type="dxa" w:w="8220"/>
            <w:vAlign w:val="top"/>
            <w:shd w:fill="EEF5FB"/>
          </w:tcPr>
          <w:p>
            <w:pPr>
              <w:spacing w:after="0"/>
            </w:pPr>
            <w:r/>
            <w:r>
              <w:rPr>
                <w:rFonts w:ascii="Microsoft YaHei" w:hAnsi="Microsoft YaHei" w:eastAsia="Microsoft YaHei"/>
                <w:b w:val="0"/>
              </w:rPr>
              <w:t>记录文件/表名、来源责任方、版本、时间范围、格式和 SHA-256。</w:t>
            </w:r>
          </w:p>
        </w:tc>
        <w:tc>
          <w:tcPr>
            <w:tcW w:type="dxa" w:w="2835"/>
            <w:vAlign w:val="top"/>
            <w:shd w:fill="EEF5FB"/>
          </w:tcPr>
          <w:p>
            <w:pPr>
              <w:spacing w:after="0"/>
            </w:pPr>
            <w:r/>
            <w:r>
              <w:rPr>
                <w:rFonts w:ascii="Microsoft YaHei" w:hAnsi="Microsoft YaHei" w:eastAsia="Microsoft YaHei"/>
                <w:b w:val="0"/>
              </w:rPr>
              <w:t>不改变任何模型状态。</w:t>
            </w:r>
          </w:p>
        </w:tc>
      </w:tr>
      <w:tr>
        <w:tc>
          <w:tcPr>
            <w:tcW w:type="dxa" w:w="1984"/>
            <w:vAlign w:val="top"/>
          </w:tcPr>
          <w:p>
            <w:pPr>
              <w:spacing w:after="0"/>
            </w:pPr>
            <w:r/>
            <w:r>
              <w:rPr>
                <w:rFonts w:ascii="Microsoft YaHei" w:hAnsi="Microsoft YaHei" w:eastAsia="Microsoft YaHei"/>
                <w:b w:val="0"/>
              </w:rPr>
              <w:t>2. 基础质量验收</w:t>
            </w:r>
          </w:p>
        </w:tc>
        <w:tc>
          <w:tcPr>
            <w:tcW w:type="dxa" w:w="8220"/>
            <w:vAlign w:val="top"/>
          </w:tcPr>
          <w:p>
            <w:pPr>
              <w:spacing w:after="0"/>
            </w:pPr>
            <w:r/>
            <w:r>
              <w:rPr>
                <w:rFonts w:ascii="Microsoft YaHei" w:hAnsi="Microsoft YaHei" w:eastAsia="Microsoft YaHei"/>
                <w:b w:val="0"/>
              </w:rPr>
              <w:t>检查 CRS、垂直基准、单位、时间、质量标识、空间覆盖、缺失值和文件完整性。</w:t>
            </w:r>
          </w:p>
        </w:tc>
        <w:tc>
          <w:tcPr>
            <w:tcW w:type="dxa" w:w="2835"/>
            <w:vAlign w:val="top"/>
          </w:tcPr>
          <w:p>
            <w:pPr>
              <w:spacing w:after="0"/>
            </w:pPr>
            <w:r/>
            <w:r>
              <w:rPr>
                <w:rFonts w:ascii="Microsoft YaHei" w:hAnsi="Microsoft YaHei" w:eastAsia="Microsoft YaHei"/>
                <w:b w:val="0"/>
              </w:rPr>
              <w:t>不通过则退回补充。</w:t>
            </w:r>
          </w:p>
        </w:tc>
      </w:tr>
      <w:tr>
        <w:tc>
          <w:tcPr>
            <w:tcW w:type="dxa" w:w="1984"/>
            <w:vAlign w:val="top"/>
            <w:shd w:fill="EEF5FB"/>
          </w:tcPr>
          <w:p>
            <w:pPr>
              <w:spacing w:after="0"/>
            </w:pPr>
            <w:r/>
            <w:r>
              <w:rPr>
                <w:rFonts w:ascii="Microsoft YaHei" w:hAnsi="Microsoft YaHei" w:eastAsia="Microsoft YaHei"/>
                <w:b w:val="0"/>
              </w:rPr>
              <w:t>3. 工程一致性验收</w:t>
            </w:r>
          </w:p>
        </w:tc>
        <w:tc>
          <w:tcPr>
            <w:tcW w:type="dxa" w:w="8220"/>
            <w:vAlign w:val="top"/>
            <w:shd w:fill="EEF5FB"/>
          </w:tcPr>
          <w:p>
            <w:pPr>
              <w:spacing w:after="0"/>
            </w:pPr>
            <w:r/>
            <w:r>
              <w:rPr>
                <w:rFonts w:ascii="Microsoft YaHei" w:hAnsi="Microsoft YaHei" w:eastAsia="Microsoft YaHei"/>
                <w:b w:val="0"/>
              </w:rPr>
              <w:t>检查管网拓扑、设施交叉表、地形覆盖、边界映射、资产 ID 和版本一致性。</w:t>
            </w:r>
          </w:p>
        </w:tc>
        <w:tc>
          <w:tcPr>
            <w:tcW w:type="dxa" w:w="2835"/>
            <w:vAlign w:val="top"/>
            <w:shd w:fill="EEF5FB"/>
          </w:tcPr>
          <w:p>
            <w:pPr>
              <w:spacing w:after="0"/>
            </w:pPr>
            <w:r/>
            <w:r>
              <w:rPr>
                <w:rFonts w:ascii="Microsoft YaHei" w:hAnsi="Microsoft YaHei" w:eastAsia="Microsoft YaHei"/>
                <w:b w:val="0"/>
              </w:rPr>
              <w:t>通过后才可申请 K0。</w:t>
            </w:r>
          </w:p>
        </w:tc>
      </w:tr>
      <w:tr>
        <w:tc>
          <w:tcPr>
            <w:tcW w:type="dxa" w:w="1984"/>
            <w:vAlign w:val="top"/>
          </w:tcPr>
          <w:p>
            <w:pPr>
              <w:spacing w:after="0"/>
            </w:pPr>
            <w:r/>
            <w:r>
              <w:rPr>
                <w:rFonts w:ascii="Microsoft YaHei" w:hAnsi="Microsoft YaHei" w:eastAsia="Microsoft YaHei"/>
                <w:b w:val="0"/>
              </w:rPr>
              <w:t>4. 传统模型校准</w:t>
            </w:r>
          </w:p>
        </w:tc>
        <w:tc>
          <w:tcPr>
            <w:tcW w:type="dxa" w:w="8220"/>
            <w:vAlign w:val="top"/>
          </w:tcPr>
          <w:p>
            <w:pPr>
              <w:spacing w:after="0"/>
            </w:pPr>
            <w:r/>
            <w:r>
              <w:rPr>
                <w:rFonts w:ascii="Microsoft YaHei" w:hAnsi="Microsoft YaHei" w:eastAsia="Microsoft YaHei"/>
                <w:b w:val="0"/>
              </w:rPr>
              <w:t>用至少一个训练事件和一个独立盲测事件校准 SWMM/ANUGA，并核对水量、深度、范围和退水。</w:t>
            </w:r>
          </w:p>
        </w:tc>
        <w:tc>
          <w:tcPr>
            <w:tcW w:type="dxa" w:w="2835"/>
            <w:vAlign w:val="top"/>
          </w:tcPr>
          <w:p>
            <w:pPr>
              <w:spacing w:after="0"/>
            </w:pPr>
            <w:r/>
            <w:r>
              <w:rPr>
                <w:rFonts w:ascii="Microsoft YaHei" w:hAnsi="Microsoft YaHei" w:eastAsia="Microsoft YaHei"/>
                <w:b w:val="0"/>
              </w:rPr>
              <w:t>传统模型获得候选准入。</w:t>
            </w:r>
          </w:p>
        </w:tc>
      </w:tr>
      <w:tr>
        <w:tc>
          <w:tcPr>
            <w:tcW w:type="dxa" w:w="1984"/>
            <w:vAlign w:val="top"/>
            <w:shd w:fill="EEF5FB"/>
          </w:tcPr>
          <w:p>
            <w:pPr>
              <w:spacing w:after="0"/>
            </w:pPr>
            <w:r/>
            <w:r>
              <w:rPr>
                <w:rFonts w:ascii="Microsoft YaHei" w:hAnsi="Microsoft YaHei" w:eastAsia="Microsoft YaHei"/>
                <w:b w:val="0"/>
              </w:rPr>
              <w:t>5. GWM 影子验证</w:t>
            </w:r>
          </w:p>
        </w:tc>
        <w:tc>
          <w:tcPr>
            <w:tcW w:type="dxa" w:w="8220"/>
            <w:vAlign w:val="top"/>
            <w:shd w:fill="EEF5FB"/>
          </w:tcPr>
          <w:p>
            <w:pPr>
              <w:spacing w:after="0"/>
            </w:pPr>
            <w:r/>
            <w:r>
              <w:rPr>
                <w:rFonts w:ascii="Microsoft YaHei" w:hAnsi="Microsoft YaHei" w:eastAsia="Microsoft YaHei"/>
                <w:b w:val="0"/>
              </w:rPr>
              <w:t>用已准入传统模型滚动和观测标签进行训练/验证，检查不确定性、分布偏移和高风险回退。</w:t>
            </w:r>
          </w:p>
        </w:tc>
        <w:tc>
          <w:tcPr>
            <w:tcW w:type="dxa" w:w="2835"/>
            <w:vAlign w:val="top"/>
            <w:shd w:fill="EEF5FB"/>
          </w:tcPr>
          <w:p>
            <w:pPr>
              <w:spacing w:after="0"/>
            </w:pPr>
            <w:r/>
            <w:r>
              <w:rPr>
                <w:rFonts w:ascii="Microsoft YaHei" w:hAnsi="Microsoft YaHei" w:eastAsia="Microsoft YaHei"/>
                <w:b w:val="0"/>
              </w:rPr>
              <w:t>GWM 仍需独立 gate。</w:t>
            </w:r>
          </w:p>
        </w:tc>
      </w:tr>
      <w:tr>
        <w:tc>
          <w:tcPr>
            <w:tcW w:type="dxa" w:w="1984"/>
            <w:vAlign w:val="top"/>
          </w:tcPr>
          <w:p>
            <w:pPr>
              <w:spacing w:after="0"/>
            </w:pPr>
            <w:r/>
            <w:r>
              <w:rPr>
                <w:rFonts w:ascii="Microsoft YaHei" w:hAnsi="Microsoft YaHei" w:eastAsia="Microsoft YaHei"/>
                <w:b w:val="0"/>
              </w:rPr>
              <w:t>6. 混合规划</w:t>
            </w:r>
          </w:p>
        </w:tc>
        <w:tc>
          <w:tcPr>
            <w:tcW w:type="dxa" w:w="8220"/>
            <w:vAlign w:val="top"/>
          </w:tcPr>
          <w:p>
            <w:pPr>
              <w:spacing w:after="0"/>
            </w:pPr>
            <w:r/>
            <w:r>
              <w:rPr>
                <w:rFonts w:ascii="Microsoft YaHei" w:hAnsi="Microsoft YaHei" w:eastAsia="Microsoft YaHei"/>
                <w:b w:val="0"/>
              </w:rPr>
              <w:t>GWM 筛选候选动作，传统模型复核质量守恒、边界和资产动作约束。</w:t>
            </w:r>
          </w:p>
        </w:tc>
        <w:tc>
          <w:tcPr>
            <w:tcW w:type="dxa" w:w="2835"/>
            <w:vAlign w:val="top"/>
          </w:tcPr>
          <w:p>
            <w:pPr>
              <w:spacing w:after="0"/>
            </w:pPr>
            <w:r/>
            <w:r>
              <w:rPr>
                <w:rFonts w:ascii="Microsoft YaHei" w:hAnsi="Microsoft YaHei" w:eastAsia="Microsoft YaHei"/>
                <w:b w:val="0"/>
              </w:rPr>
              <w:t>未通过则回退传统模型或不作声明。</w:t>
            </w:r>
          </w:p>
        </w:tc>
      </w:tr>
    </w:tbl>
    <w:p/>
    <w:p>
      <w:pPr>
        <w:spacing w:after="120" w:line="276" w:lineRule="auto"/>
      </w:pPr>
      <w:r>
        <w:rPr>
          <w:rFonts w:ascii="Microsoft YaHei" w:hAnsi="Microsoft YaHei" w:eastAsia="Microsoft YaHei"/>
        </w:rPr>
        <w:t>当前状态：K0、传统模型准入、GWM 训练、混合规划器和城市级预测声明全部关闭。</w:t>
      </w:r>
    </w:p>
    <w:p>
      <w:pPr>
        <w:pStyle w:val="Heading1"/>
      </w:pPr>
      <w:r>
        <w:rPr>
          <w:rFonts w:ascii="Microsoft YaHei" w:hAnsi="Microsoft YaHei" w:eastAsia="Microsoft YaHei"/>
        </w:rPr>
        <w:t>6. 当前测试数据说明</w:t>
      </w:r>
    </w:p>
    <w:p>
      <w:pPr>
        <w:spacing w:after="120" w:line="276" w:lineRule="auto"/>
      </w:pPr>
      <w:r>
        <w:rPr>
          <w:rFonts w:ascii="Microsoft YaHei" w:hAnsi="Microsoft YaHei" w:eastAsia="Microsoft YaHei"/>
        </w:rPr>
        <w:t>为避免客户误解，当前测试数据和公开数据的定位如下：</w:t>
      </w:r>
    </w:p>
    <w:tbl>
      <w:tblPr>
        <w:tblStyle w:val="TableGrid"/>
        <w:tblW w:type="auto" w:w="0"/>
        <w:jc w:val="center"/>
        <w:tblLook w:firstColumn="1" w:firstRow="1" w:lastColumn="0" w:lastRow="0" w:noHBand="0" w:noVBand="1" w:val="04A0"/>
      </w:tblPr>
      <w:tblGrid>
        <w:gridCol w:w="5083"/>
        <w:gridCol w:w="5083"/>
        <w:gridCol w:w="5083"/>
      </w:tblGrid>
      <w:tr>
        <w:tc>
          <w:tcPr>
            <w:tcW w:type="dxa" w:w="2835"/>
            <w:shd w:fill="1F4E78"/>
            <w:vAlign w:val="center"/>
          </w:tcPr>
          <w:p>
            <w:pPr>
              <w:spacing w:after="0"/>
            </w:pPr>
            <w:r/>
            <w:r>
              <w:rPr>
                <w:rFonts w:ascii="Microsoft YaHei" w:hAnsi="Microsoft YaHei" w:eastAsia="Microsoft YaHei"/>
                <w:b/>
                <w:color w:val="FFFFFF"/>
              </w:rPr>
              <w:t>数据</w:t>
            </w:r>
          </w:p>
        </w:tc>
        <w:tc>
          <w:tcPr>
            <w:tcW w:type="dxa" w:w="1984"/>
            <w:shd w:fill="1F4E78"/>
            <w:vAlign w:val="center"/>
          </w:tcPr>
          <w:p>
            <w:pPr>
              <w:spacing w:after="0"/>
            </w:pPr>
            <w:r/>
            <w:r>
              <w:rPr>
                <w:rFonts w:ascii="Microsoft YaHei" w:hAnsi="Microsoft YaHei" w:eastAsia="Microsoft YaHei"/>
                <w:b/>
                <w:color w:val="FFFFFF"/>
              </w:rPr>
              <w:t>性质</w:t>
            </w:r>
          </w:p>
        </w:tc>
        <w:tc>
          <w:tcPr>
            <w:tcW w:type="dxa" w:w="8220"/>
            <w:shd w:fill="1F4E78"/>
            <w:vAlign w:val="center"/>
          </w:tcPr>
          <w:p>
            <w:pPr>
              <w:spacing w:after="0"/>
            </w:pPr>
            <w:r/>
            <w:r>
              <w:rPr>
                <w:rFonts w:ascii="Microsoft YaHei" w:hAnsi="Microsoft YaHei" w:eastAsia="Microsoft YaHei"/>
                <w:b/>
                <w:color w:val="FFFFFF"/>
              </w:rPr>
              <w:t>使用边界</w:t>
            </w:r>
          </w:p>
        </w:tc>
      </w:tr>
      <w:tr>
        <w:tc>
          <w:tcPr>
            <w:tcW w:type="dxa" w:w="2835"/>
            <w:vAlign w:val="top"/>
            <w:shd w:fill="EEF5FB"/>
          </w:tcPr>
          <w:p>
            <w:pPr>
              <w:spacing w:after="0"/>
            </w:pPr>
            <w:r/>
            <w:r>
              <w:rPr>
                <w:rFonts w:ascii="Microsoft YaHei" w:hAnsi="Microsoft YaHei" w:eastAsia="Microsoft YaHei"/>
                <w:b w:val="0"/>
              </w:rPr>
              <w:t>CHIRPS 2024-04-15..17 日降雨</w:t>
            </w:r>
          </w:p>
        </w:tc>
        <w:tc>
          <w:tcPr>
            <w:tcW w:type="dxa" w:w="1984"/>
            <w:vAlign w:val="top"/>
            <w:shd w:fill="EEF5FB"/>
          </w:tcPr>
          <w:p>
            <w:pPr>
              <w:spacing w:after="0"/>
            </w:pPr>
            <w:r/>
            <w:r>
              <w:rPr>
                <w:rFonts w:ascii="Microsoft YaHei" w:hAnsi="Microsoft YaHei" w:eastAsia="Microsoft YaHei"/>
                <w:b w:val="0"/>
              </w:rPr>
              <w:t>公开测试代理</w:t>
            </w:r>
          </w:p>
        </w:tc>
        <w:tc>
          <w:tcPr>
            <w:tcW w:type="dxa" w:w="8220"/>
            <w:vAlign w:val="top"/>
            <w:shd w:fill="EEF5FB"/>
          </w:tcPr>
          <w:p>
            <w:pPr>
              <w:spacing w:after="0"/>
            </w:pPr>
            <w:r/>
            <w:r>
              <w:rPr>
                <w:rFonts w:ascii="Microsoft YaHei" w:hAnsi="Microsoft YaHei" w:eastAsia="Microsoft YaHei"/>
                <w:b w:val="0"/>
              </w:rPr>
              <w:t>仅诊断敏感性；日尺度、0.05°，不能替代 NCM 站点/雷达事件雨量。</w:t>
            </w:r>
          </w:p>
        </w:tc>
      </w:tr>
      <w:tr>
        <w:tc>
          <w:tcPr>
            <w:tcW w:type="dxa" w:w="2835"/>
            <w:vAlign w:val="top"/>
          </w:tcPr>
          <w:p>
            <w:pPr>
              <w:spacing w:after="0"/>
            </w:pPr>
            <w:r/>
            <w:r>
              <w:rPr>
                <w:rFonts w:ascii="Microsoft YaHei" w:hAnsi="Microsoft YaHei" w:eastAsia="Microsoft YaHei"/>
                <w:b w:val="0"/>
              </w:rPr>
              <w:t>SmartMakani 管网、等高线、设施候选</w:t>
            </w:r>
          </w:p>
        </w:tc>
        <w:tc>
          <w:tcPr>
            <w:tcW w:type="dxa" w:w="1984"/>
            <w:vAlign w:val="top"/>
          </w:tcPr>
          <w:p>
            <w:pPr>
              <w:spacing w:after="0"/>
            </w:pPr>
            <w:r/>
            <w:r>
              <w:rPr>
                <w:rFonts w:ascii="Microsoft YaHei" w:hAnsi="Microsoft YaHei" w:eastAsia="Microsoft YaHei"/>
                <w:b w:val="0"/>
              </w:rPr>
              <w:t>公开/客户候选数据</w:t>
            </w:r>
          </w:p>
        </w:tc>
        <w:tc>
          <w:tcPr>
            <w:tcW w:type="dxa" w:w="8220"/>
            <w:vAlign w:val="top"/>
          </w:tcPr>
          <w:p>
            <w:pPr>
              <w:spacing w:after="0"/>
            </w:pPr>
            <w:r/>
            <w:r>
              <w:rPr>
                <w:rFonts w:ascii="Microsoft YaHei" w:hAnsi="Microsoft YaHei" w:eastAsia="Microsoft YaHei"/>
                <w:b w:val="0"/>
              </w:rPr>
              <w:t>用于候选网络和空间交叉检查；单位、垂直基准、权威关系和工程版本未验收。</w:t>
            </w:r>
          </w:p>
        </w:tc>
      </w:tr>
      <w:tr>
        <w:tc>
          <w:tcPr>
            <w:tcW w:type="dxa" w:w="2835"/>
            <w:vAlign w:val="top"/>
            <w:shd w:fill="EEF5FB"/>
          </w:tcPr>
          <w:p>
            <w:pPr>
              <w:spacing w:after="0"/>
            </w:pPr>
            <w:r/>
            <w:r>
              <w:rPr>
                <w:rFonts w:ascii="Microsoft YaHei" w:hAnsi="Microsoft YaHei" w:eastAsia="Microsoft YaHei"/>
                <w:b w:val="0"/>
              </w:rPr>
              <w:t>Copernicus/SRTM 地形</w:t>
            </w:r>
          </w:p>
        </w:tc>
        <w:tc>
          <w:tcPr>
            <w:tcW w:type="dxa" w:w="1984"/>
            <w:vAlign w:val="top"/>
            <w:shd w:fill="EEF5FB"/>
          </w:tcPr>
          <w:p>
            <w:pPr>
              <w:spacing w:after="0"/>
            </w:pPr>
            <w:r/>
            <w:r>
              <w:rPr>
                <w:rFonts w:ascii="Microsoft YaHei" w:hAnsi="Microsoft YaHei" w:eastAsia="Microsoft YaHei"/>
                <w:b w:val="0"/>
              </w:rPr>
              <w:t>公开测试代理</w:t>
            </w:r>
          </w:p>
        </w:tc>
        <w:tc>
          <w:tcPr>
            <w:tcW w:type="dxa" w:w="8220"/>
            <w:vAlign w:val="top"/>
            <w:shd w:fill="EEF5FB"/>
          </w:tcPr>
          <w:p>
            <w:pPr>
              <w:spacing w:after="0"/>
            </w:pPr>
            <w:r/>
            <w:r>
              <w:rPr>
                <w:rFonts w:ascii="Microsoft YaHei" w:hAnsi="Microsoft YaHei" w:eastAsia="Microsoft YaHei"/>
                <w:b w:val="0"/>
              </w:rPr>
              <w:t>用于管线和算法测试；不能替代工程 DTM/LiDAR 和微地形。</w:t>
            </w:r>
          </w:p>
        </w:tc>
      </w:tr>
      <w:tr>
        <w:tc>
          <w:tcPr>
            <w:tcW w:type="dxa" w:w="2835"/>
            <w:vAlign w:val="top"/>
          </w:tcPr>
          <w:p>
            <w:pPr>
              <w:spacing w:after="0"/>
            </w:pPr>
            <w:r/>
            <w:r>
              <w:rPr>
                <w:rFonts w:ascii="Microsoft YaHei" w:hAnsi="Microsoft YaHei" w:eastAsia="Microsoft YaHei"/>
                <w:b w:val="0"/>
              </w:rPr>
              <w:t>OSM 水系、OCHA/HDX 边界</w:t>
            </w:r>
          </w:p>
        </w:tc>
        <w:tc>
          <w:tcPr>
            <w:tcW w:type="dxa" w:w="1984"/>
            <w:vAlign w:val="top"/>
          </w:tcPr>
          <w:p>
            <w:pPr>
              <w:spacing w:after="0"/>
            </w:pPr>
            <w:r/>
            <w:r>
              <w:rPr>
                <w:rFonts w:ascii="Microsoft YaHei" w:hAnsi="Microsoft YaHei" w:eastAsia="Microsoft YaHei"/>
                <w:b w:val="0"/>
              </w:rPr>
              <w:t>公开空间上下文</w:t>
            </w:r>
          </w:p>
        </w:tc>
        <w:tc>
          <w:tcPr>
            <w:tcW w:type="dxa" w:w="8220"/>
            <w:vAlign w:val="top"/>
          </w:tcPr>
          <w:p>
            <w:pPr>
              <w:spacing w:after="0"/>
            </w:pPr>
            <w:r/>
            <w:r>
              <w:rPr>
                <w:rFonts w:ascii="Microsoft YaHei" w:hAnsi="Microsoft YaHei" w:eastAsia="Microsoft YaHei"/>
                <w:b w:val="0"/>
              </w:rPr>
              <w:t>用于裁剪和空间关联；不是客户权威资产或积水观测。</w:t>
            </w:r>
          </w:p>
        </w:tc>
      </w:tr>
      <w:tr>
        <w:tc>
          <w:tcPr>
            <w:tcW w:type="dxa" w:w="2835"/>
            <w:vAlign w:val="top"/>
            <w:shd w:fill="EEF5FB"/>
          </w:tcPr>
          <w:p>
            <w:pPr>
              <w:spacing w:after="0"/>
            </w:pPr>
            <w:r/>
            <w:r>
              <w:rPr>
                <w:rFonts w:ascii="Microsoft YaHei" w:hAnsi="Microsoft YaHei" w:eastAsia="Microsoft YaHei"/>
                <w:b w:val="0"/>
              </w:rPr>
              <w:t>Sentinel-1/GPM 目录和访问探针</w:t>
            </w:r>
          </w:p>
        </w:tc>
        <w:tc>
          <w:tcPr>
            <w:tcW w:type="dxa" w:w="1984"/>
            <w:vAlign w:val="top"/>
            <w:shd w:fill="EEF5FB"/>
          </w:tcPr>
          <w:p>
            <w:pPr>
              <w:spacing w:after="0"/>
            </w:pPr>
            <w:r/>
            <w:r>
              <w:rPr>
                <w:rFonts w:ascii="Microsoft YaHei" w:hAnsi="Microsoft YaHei" w:eastAsia="Microsoft YaHei"/>
                <w:b w:val="0"/>
              </w:rPr>
              <w:t>目录级证据</w:t>
            </w:r>
          </w:p>
        </w:tc>
        <w:tc>
          <w:tcPr>
            <w:tcW w:type="dxa" w:w="8220"/>
            <w:vAlign w:val="top"/>
            <w:shd w:fill="EEF5FB"/>
          </w:tcPr>
          <w:p>
            <w:pPr>
              <w:spacing w:after="0"/>
            </w:pPr>
            <w:r/>
            <w:r>
              <w:rPr>
                <w:rFonts w:ascii="Microsoft YaHei" w:hAnsi="Microsoft YaHei" w:eastAsia="Microsoft YaHei"/>
                <w:b w:val="0"/>
              </w:rPr>
              <w:t>没有被当作洪水影像或半小时降雨数据；受限资产不进入模型。</w:t>
            </w:r>
          </w:p>
        </w:tc>
      </w:tr>
      <w:tr>
        <w:tc>
          <w:tcPr>
            <w:tcW w:type="dxa" w:w="2835"/>
            <w:vAlign w:val="top"/>
          </w:tcPr>
          <w:p>
            <w:pPr>
              <w:spacing w:after="0"/>
            </w:pPr>
            <w:r/>
            <w:r>
              <w:rPr>
                <w:rFonts w:ascii="Microsoft YaHei" w:hAnsi="Microsoft YaHei" w:eastAsia="Microsoft YaHei"/>
                <w:b w:val="0"/>
              </w:rPr>
              <w:t>SWMM/ANUGA/LISFLOOD-FP 合成运行</w:t>
            </w:r>
          </w:p>
        </w:tc>
        <w:tc>
          <w:tcPr>
            <w:tcW w:type="dxa" w:w="1984"/>
            <w:vAlign w:val="top"/>
          </w:tcPr>
          <w:p>
            <w:pPr>
              <w:spacing w:after="0"/>
            </w:pPr>
            <w:r/>
            <w:r>
              <w:rPr>
                <w:rFonts w:ascii="Microsoft YaHei" w:hAnsi="Microsoft YaHei" w:eastAsia="Microsoft YaHei"/>
                <w:b w:val="0"/>
              </w:rPr>
              <w:t>合成诊断</w:t>
            </w:r>
          </w:p>
        </w:tc>
        <w:tc>
          <w:tcPr>
            <w:tcW w:type="dxa" w:w="8220"/>
            <w:vAlign w:val="top"/>
          </w:tcPr>
          <w:p>
            <w:pPr>
              <w:spacing w:after="0"/>
            </w:pPr>
            <w:r/>
            <w:r>
              <w:rPr>
                <w:rFonts w:ascii="Microsoft YaHei" w:hAnsi="Microsoft YaHei" w:eastAsia="Microsoft YaHei"/>
                <w:b w:val="0"/>
              </w:rPr>
              <w:t>用于验证适配器、质量守恒和接口；不代表阿布扎比事件重建结果。</w:t>
            </w:r>
          </w:p>
        </w:tc>
      </w:tr>
    </w:tbl>
    <w:p/>
    <w:p>
      <w:pPr>
        <w:pStyle w:val="Heading1"/>
      </w:pPr>
      <w:r>
        <w:rPr>
          <w:rFonts w:ascii="Microsoft YaHei" w:hAnsi="Microsoft YaHei" w:eastAsia="Microsoft YaHei"/>
        </w:rPr>
        <w:t>7. 客户需要优先提供的 P0 数据</w:t>
      </w:r>
    </w:p>
    <w:p>
      <w:pPr>
        <w:spacing w:after="120" w:line="276" w:lineRule="auto"/>
      </w:pPr>
      <w:r>
        <w:rPr>
          <w:rFonts w:ascii="Microsoft YaHei" w:hAnsi="Microsoft YaHei" w:eastAsia="Microsoft YaHei"/>
        </w:rPr>
        <w:t>如果客户暂时无法一次性提供全部数据，建议按以下顺序分批交付：</w:t>
      </w:r>
    </w:p>
    <w:p>
      <w:pPr>
        <w:pStyle w:val="ListBullet"/>
        <w:spacing w:after="60"/>
      </w:pPr>
      <w:r>
        <w:rPr>
          <w:rFonts w:ascii="Microsoft YaHei" w:hAnsi="Microsoft YaHei" w:eastAsia="Microsoft YaHei"/>
        </w:rPr>
        <w:t>第一批：工程 DTM/LiDAR 与垂直基准、权威雨水管网及设施关系、2024 年 4 月事件雨量站/雷达 QPE。</w:t>
      </w:r>
    </w:p>
    <w:p>
      <w:pPr>
        <w:pStyle w:val="ListBullet"/>
        <w:spacing w:after="60"/>
      </w:pPr>
      <w:r>
        <w:rPr>
          <w:rFonts w:ascii="Microsoft YaHei" w:hAnsi="Microsoft YaHei" w:eastAsia="Microsoft YaHei"/>
        </w:rPr>
        <w:t>第二批：潮位/风暴增水/外排边界、泵闸运行和调蓄日志、2024 年事件积水深度/范围/退水观测。</w:t>
      </w:r>
    </w:p>
    <w:p>
      <w:pPr>
        <w:pStyle w:val="ListBullet"/>
        <w:spacing w:after="60"/>
      </w:pPr>
      <w:r>
        <w:rPr>
          <w:rFonts w:ascii="Microsoft YaHei" w:hAnsi="Microsoft YaHei" w:eastAsia="Microsoft YaHei"/>
        </w:rPr>
        <w:t>第三批：共同空间叠加规则、Liveability 暴露口径、道路/缘石/建筑微地形、土地覆盖/入渗参数。</w:t>
      </w:r>
    </w:p>
    <w:p>
      <w:pPr>
        <w:pStyle w:val="ListBullet"/>
        <w:spacing w:after="60"/>
      </w:pPr>
      <w:r>
        <w:rPr>
          <w:rFonts w:ascii="Microsoft YaHei" w:hAnsi="Microsoft YaHei" w:eastAsia="Microsoft YaHei"/>
        </w:rPr>
        <w:t>第四批：历史事件库、设计暴雨库、维护堵塞和设施状态历史。</w:t>
      </w:r>
    </w:p>
    <w:p>
      <w:pPr>
        <w:spacing w:after="120" w:line="276" w:lineRule="auto"/>
      </w:pPr>
      <w:r>
        <w:rPr>
          <w:rFonts w:ascii="Microsoft YaHei" w:hAnsi="Microsoft YaHei" w:eastAsia="Microsoft YaHei"/>
        </w:rPr>
        <w:t>客户数据到达后，项目组会先更新数据需求回执和验收状态，再决定是否推进下一模型 gate；不会因为测试数据可用而跳过客户权威数据验收。</w:t>
      </w:r>
    </w:p>
    <w:sectPr w:rsidR="00FC693F" w:rsidRPr="0006063C" w:rsidSect="00034616">
      <w:pgSz w:w="16838" w:h="11906"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阿布扎比城市暴雨内涝世界模型客户权威数据需求说明书</dc:title>
  <dc:subject>客户权威真实数据交付、验收和模型准入说明</dc:subject>
  <dc:creator>Abu Dhabi Stormwater World Model</dc:creator>
  <cp:keywords/>
  <dc:description>generated by python-docx</dc:description>
  <cp:lastModifiedBy/>
  <cp:revision>1</cp:revision>
  <dcterms:created xsi:type="dcterms:W3CDTF">2013-12-23T23:15:00Z</dcterms:created>
  <dcterms:modified xsi:type="dcterms:W3CDTF">2013-12-23T23:15:00Z</dcterms:modified>
  <cp:category/>
</cp:coreProperties>
</file>