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Geospatial World Modeling via Frozen Foundation Model</w:t>
        <w:br/>
        <w:t>Embeddings and Lightweight Latent Dynamics</w:t>
      </w:r>
    </w:p>
    <w:p>
      <w:pPr>
        <w:jc w:val="center"/>
      </w:pPr>
      <w:r>
        <w:rPr>
          <w:sz w:val="24"/>
        </w:rPr>
        <w:t>Ning Zhou and Xiang Jing*</w:t>
      </w:r>
    </w:p>
    <w:p>
      <w:pPr>
        <w:jc w:val="center"/>
      </w:pPr>
      <w:r>
        <w:rPr>
          <w:sz w:val="20"/>
        </w:rPr>
        <w:t>School of Software and Microelectronics, Peking University, Beijing 100871, China</w:t>
      </w:r>
    </w:p>
    <w:p>
      <w:pPr>
        <w:jc w:val="center"/>
      </w:pPr>
      <w:r>
        <w:rPr>
          <w:sz w:val="20"/>
        </w:rPr>
        <w:t>*Corresponding author. Email: jingxiang@pku.edu.cn</w:t>
      </w:r>
    </w:p>
    <w:p>
      <w:pPr>
        <w:jc w:val="center"/>
      </w:pPr>
      <w:r>
        <w:rPr>
          <w:sz w:val="20"/>
        </w:rPr>
        <w:t>Target journal: International Journal of Geographical Information Science (IJGIS)</w:t>
      </w:r>
    </w:p>
    <w:p>
      <w:r>
        <w:rPr>
          <w:b/>
          <w:sz w:val="28"/>
        </w:rPr>
        <w:t>Abstract</w:t>
      </w:r>
    </w:p>
    <w:p>
      <w:r>
        <w:rPr>
          <w:sz w:val="22"/>
        </w:rPr>
        <w:t>Predicting land-use and land-cover (LULC) change is fundamental to geographic information science, yet existing methods either operate on discrete categorical maps (CA-Markov, ConvLSTM) or require prohibitively large pixel-level generative models (EarthPT, DiffusionSat). We propose a geospatial world model that predicts LULC change entirely within a learned embedding space, following the Joint Embedding Predictive Architecture (JEPA) paradigm. Our approach combines a frozen geospatial foundation model---Google AlphaEarth Foundations (480M+ parameters)---as a fixed encoder producing 64-dimensional per-pixel embeddings, with a lightweight LatentDynamicsNet (459K parameters) that learns residual state transitions in this embedding space via autoregressive rollout. We introduce three key technical contributions: (1) explicit L2 re-normalization after each autoregressive step to prevent manifold drift on the unit hypersphere; (2) dilated convolutions (dilation rates 1, 2, 4) to expand the receptive field from 50 m to 170 m for capturing macro-scale land-use drivers; and (3) multi-step unrolled training loss with decaying weights to mitigate exposure bias in long-horizon prediction. Experiments span 17 study areas across China (12 training, 2 validation, 1 test, 2 out-of-distribution), with 500 sample points per area per year over 2017-2024, evaluated against three baselines (persistence, linear extrapolation, mean reversion). On the 12 training areas, the model achieves a mean cosine similarity of 0.9575 with ground truth, surpassing the persistence baseline (0.9460) on all 12 areas (+0.012 average). Critically, on pixels that underwent actual land-use change (top 20% by embedding displacement), the model advantage amplifies to +0.030 to +0.108 over persistence. The validation set shows positive advantage (+0.005), and OOD degradation is limited to -0.012. Multi-step rollout sustains above-baseline quality for 5 of 6 autoregressive steps. These results demonstrate that frozen foundation model embeddings provide a viable state space for geospatial world modeling, achieving meaningful dynamics learning with three orders of magnitude fewer parameters than comparable autoregressive earth observation models.</w:t>
      </w:r>
    </w:p>
    <w:p>
      <w:r>
        <w:rPr>
          <w:b/>
          <w:sz w:val="20"/>
        </w:rPr>
        <w:t>Keywords: geospatial world model; JEPA; foundation model embeddings; land-use change prediction; latent dynamics; AlphaEarth</w:t>
      </w:r>
    </w:p>
    <w:p>
      <w:r>
        <w:rPr>
          <w:b/>
          <w:sz w:val="28"/>
        </w:rPr>
        <w:t>1. Introduction</w:t>
      </w:r>
    </w:p>
    <w:p>
      <w:r>
        <w:rPr>
          <w:sz w:val="22"/>
        </w:rPr>
        <w:t>Predicting how land surfaces will change over time is a central problem in geographical information science, with direct applications in urban planning, agricultural policy, ecological conservation, and climate adaptation. Traditional approaches---cellular automata-Markov chains (CA-Markov), CLUE-S, and logistic regression---operate on categorical land-use maps, relying on hand-calibrated transition probabilities and socioeconomic driving factors. While effective in constrained scenarios, these methods cannot capture the rich, continuous spectral-spatial-temporal information present in modern satellite observations.</w:t>
      </w:r>
    </w:p>
    <w:p>
      <w:r>
        <w:rPr>
          <w:sz w:val="22"/>
        </w:rPr>
        <w:t>Recent advances in deep learning have introduced more powerful alternatives. Convolutional-recurrent architectures (ConvLSTM) can learn spatiotemporal patterns from classified imagery sequences. EarthPT, a 700M-parameter autoregressive transformer, predicts pixel-level spectral reflectance forward in time. DiffusionSat uses conditional diffusion models to generate future satellite images. However, all of these operate in raw observation space (spectral bands or classified pixels), inheriting two fundamental limitations: (1) prediction in high-dimensional pixel space is computationally expensive and prone to hallucination artifacts; and (2) pixel-level prediction conflates semantically meaningful change with irrelevant noise.</w:t>
      </w:r>
    </w:p>
    <w:p>
      <w:r>
        <w:rPr>
          <w:sz w:val="22"/>
        </w:rPr>
        <w:t>In the broader AI community, the concept of a world model---a learned internal simulator that predicts environment state transitions in a compressed latent space---has emerged as a powerful paradigm. Pioneered by Ha &amp; Schmidhuber (2018) and advanced through Dreamer V3 (Hafner et al., 2023) and MuZero (Schrittwieser et al., 2020), world models separate perception from dynamics. LeCun's JEPA framework (2022) formalizes this principle: predict in representation space, not pixel space.</w:t>
      </w:r>
    </w:p>
    <w:p>
      <w:r>
        <w:rPr>
          <w:sz w:val="22"/>
        </w:rPr>
        <w:t>Simultaneously, geospatial foundation models (GeoFMs) have made pre-trained representations freely available. AlphaEarth Foundations (Brown et al., 2025) produces 64-dimensional L2-normalized embedding vectors at 10 m resolution for every land pixel on Earth, annually from 2017 to 2024. These embeddings have been shown to be physically interpretable (Rahman, 2026) and linearly decodable to land-cover classes with &gt;83% accuracy.</w:t>
      </w:r>
    </w:p>
    <w:p>
      <w:r>
        <w:rPr>
          <w:sz w:val="22"/>
        </w:rPr>
        <w:t>This paper bridges these two developments: we treat GeoFM embeddings as the state space of a geospatial world model. Our key insight is that if a foundation model has already learned to compress satellite observations into semantically meaningful, temporally varying embeddings, then the dynamics of land-use change can be learned on top of these frozen embeddings using a lightweight neural network. This corresponds precisely to JEPA: the foundation model serves as the encoder; a small LatentDynamicsNet serves as the predictor.</w:t>
      </w:r>
    </w:p>
    <w:p>
      <w:r>
        <w:rPr>
          <w:sz w:val="22"/>
        </w:rPr>
        <w:t>To our knowledge, this is the first work to combine frozen geospatial foundation model embeddings with a learned dynamics model for autoregressive land-use change prediction. Our contributions are:</w:t>
      </w:r>
    </w:p>
    <w:p>
      <w:pPr>
        <w:pStyle w:val="ListNumber"/>
      </w:pPr>
      <w:r>
        <w:t>(1) We formulate geospatial world modeling as residual dynamics learning in a frozen GeoFM embedding space, and demonstrate its feasibility through a three-phase validation pipeline.</w:t>
      </w:r>
    </w:p>
    <w:p>
      <w:pPr>
        <w:pStyle w:val="ListNumber"/>
      </w:pPr>
      <w:r>
        <w:t>(2) We design the LatentDynamicsNet, a 459K-parameter dilated convolutional network with L2 manifold preservation, scenario conditioning, and terrain context inputs, achieving meaningful prediction with 1,500x fewer parameters than EarthPT.</w:t>
      </w:r>
    </w:p>
    <w:p>
      <w:pPr>
        <w:pStyle w:val="ListNumber"/>
      </w:pPr>
      <w:r>
        <w:t>(3) We introduce multi-step unrolled training loss to combat exposure bias, extending the effective prediction horizon from 3 to 5+ years.</w:t>
      </w:r>
    </w:p>
    <w:p>
      <w:pPr>
        <w:pStyle w:val="ListNumber"/>
      </w:pPr>
      <w:r>
        <w:t>(4) We provide comprehensive experiments on 17 Chinese study areas with strict train/val/test/OOD splits, three baselines, and a novel change-pixel evaluation protocol.</w:t>
      </w:r>
    </w:p>
    <w:p>
      <w:r>
        <w:rPr>
          <w:b/>
          <w:sz w:val="28"/>
        </w:rPr>
        <w:t>2. Related Work</w:t>
      </w:r>
    </w:p>
    <w:p>
      <w:r>
        <w:rPr>
          <w:b/>
          <w:sz w:val="24"/>
        </w:rPr>
        <w:t>2.1 LULC change prediction</w:t>
      </w:r>
    </w:p>
    <w:p>
      <w:r>
        <w:rPr>
          <w:sz w:val="22"/>
        </w:rPr>
        <w:t>LULC change prediction has evolved from statistical models to deep learning approaches. CA-Markov combines cellular automata neighborhood rules with Markov chain transition matrices. CLUE-S incorporates logistic regression with socioeconomic drivers. Themeda (Turnbull et al., 2025) uses ConvLSTM with 33 years of data, achieving 93.4% pixel-wise accuracy. TAMMs (Guo et al., 2025) unifies temporal change description with future satellite image generation.</w:t>
      </w:r>
    </w:p>
    <w:p>
      <w:r>
        <w:rPr>
          <w:b/>
          <w:sz w:val="24"/>
        </w:rPr>
        <w:t>2.2 Earth observation foundation models</w:t>
      </w:r>
    </w:p>
    <w:p>
      <w:r>
        <w:rPr>
          <w:sz w:val="22"/>
        </w:rPr>
        <w:t>GeoFMs have rapidly advanced. Prithvi-EO-2.0 provides multi-temporal embeddings for classification tasks. SatMAE uses masked autoencoders with temporal positional encoding. AlphaEarth Foundations stands out by providing annually-resolved, globally-available, 64-dimensional embeddings at 10 m resolution through Google Earth Engine, with demonstrated physical interpretability (Rahman, 2026; Benavides-Martinez et al., 2026).</w:t>
      </w:r>
    </w:p>
    <w:p>
      <w:r>
        <w:rPr>
          <w:b/>
          <w:sz w:val="24"/>
        </w:rPr>
        <w:t>2.3 World models and JEPA</w:t>
      </w:r>
    </w:p>
    <w:p>
      <w:r>
        <w:rPr>
          <w:sz w:val="22"/>
        </w:rPr>
        <w:t>World models originated in reinforcement learning: Ha &amp; Schmidhuber (2018) learn compressed environment dynamics for policy training. Dreamer V3 (Hafner et al., 2023) achieves human-level performance using Recurrent State-Space Models. LeCun's JEPA (2022) formalizes predicting in representation space. AnySat (Astruc et al., 2024) applies JEPA to remote sensing but for spatial mask prediction, not temporal dynamics.</w:t>
      </w:r>
    </w:p>
    <w:p>
      <w:r>
        <w:rPr>
          <w:b/>
          <w:sz w:val="24"/>
        </w:rPr>
        <w:t>2.4 Closest prior work</w:t>
      </w:r>
    </w:p>
    <w:p>
      <w:r>
        <w:rPr>
          <w:sz w:val="22"/>
        </w:rPr>
        <w:t>MM-VSF (2024) predicts future satellite embeddings but trains its own encoder end-to-end. EarthPT (Smith et al., 2023) performs autoregressive prediction on raw spectral reflectance with 700M parameters. PDFM+TimesFM (Google, 2024) uses geospatial embeddings with a forecasting model but predicts socioeconomic variables. Our approach is the first to learn autoregressive dynamics on top of frozen GeoFM embeddings.</w:t>
      </w:r>
    </w:p>
    <w:p>
      <w:r>
        <w:rPr>
          <w:b/>
          <w:sz w:val="28"/>
        </w:rPr>
        <w:t>3. Study Areas and Data</w:t>
      </w:r>
    </w:p>
    <w:p>
      <w:r>
        <w:rPr>
          <w:sz w:val="22"/>
        </w:rPr>
        <w:t>We select 17 study areas across China, covering four major land-type categories, with a strict four-way split: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Split</w:t>
            </w:r>
          </w:p>
        </w:tc>
        <w:tc>
          <w:tcPr>
            <w:tcW w:type="dxa" w:w="2351"/>
          </w:tcPr>
          <w:p>
            <w:r>
              <w:rPr>
                <w:b/>
                <w:sz w:val="18"/>
              </w:rPr>
              <w:t>Count</w:t>
            </w:r>
          </w:p>
        </w:tc>
        <w:tc>
          <w:tcPr>
            <w:tcW w:type="dxa" w:w="2351"/>
          </w:tcPr>
          <w:p>
            <w:r>
              <w:rPr>
                <w:b/>
                <w:sz w:val="18"/>
              </w:rPr>
              <w:t>Areas</w:t>
            </w:r>
          </w:p>
        </w:tc>
        <w:tc>
          <w:tcPr>
            <w:tcW w:type="dxa" w:w="2351"/>
          </w:tcPr>
          <w:p>
            <w:r>
              <w:rPr>
                <w:b/>
                <w:sz w:val="18"/>
              </w:rPr>
              <w:t>Categories</w:t>
            </w:r>
          </w:p>
        </w:tc>
      </w:tr>
      <w:tr>
        <w:tc>
          <w:tcPr>
            <w:tcW w:type="dxa" w:w="2351"/>
          </w:tcPr>
          <w:p>
            <w:r>
              <w:rPr>
                <w:sz w:val="18"/>
              </w:rPr>
              <w:t>Train</w:t>
            </w:r>
          </w:p>
        </w:tc>
        <w:tc>
          <w:tcPr>
            <w:tcW w:type="dxa" w:w="2351"/>
          </w:tcPr>
          <w:p>
            <w:r>
              <w:rPr>
                <w:sz w:val="18"/>
              </w:rPr>
              <w:t>12</w:t>
            </w:r>
          </w:p>
        </w:tc>
        <w:tc>
          <w:tcPr>
            <w:tcW w:type="dxa" w:w="2351"/>
          </w:tcPr>
          <w:p>
            <w:r>
              <w:rPr>
                <w:sz w:val="18"/>
              </w:rPr>
              <w:t>Yangtze Delta, Jing-Jin-Ji, Chengdu, NE Plain, N. China Plain, Jianghan, Hetao, Yunnan, Daxinganling, Qinghai Edge, Guanzhong, Minnan</w:t>
            </w:r>
          </w:p>
        </w:tc>
        <w:tc>
          <w:tcPr>
            <w:tcW w:type="dxa" w:w="2351"/>
          </w:tcPr>
          <w:p>
            <w:r>
              <w:rPr>
                <w:sz w:val="18"/>
              </w:rPr>
              <w:t>Urban/Agriculture/Ecology/Mixed</w:t>
            </w:r>
          </w:p>
        </w:tc>
      </w:tr>
      <w:tr>
        <w:tc>
          <w:tcPr>
            <w:tcW w:type="dxa" w:w="2351"/>
          </w:tcPr>
          <w:p>
            <w:r>
              <w:rPr>
                <w:sz w:val="18"/>
              </w:rPr>
              <w:t>Validation</w:t>
            </w:r>
          </w:p>
        </w:tc>
        <w:tc>
          <w:tcPr>
            <w:tcW w:type="dxa" w:w="2351"/>
          </w:tcPr>
          <w:p>
            <w:r>
              <w:rPr>
                <w:sz w:val="18"/>
              </w:rPr>
              <w:t>2</w:t>
            </w:r>
          </w:p>
        </w:tc>
        <w:tc>
          <w:tcPr>
            <w:tcW w:type="dxa" w:w="2351"/>
          </w:tcPr>
          <w:p>
            <w:r>
              <w:rPr>
                <w:sz w:val="18"/>
              </w:rPr>
              <w:t>Pearl River, Poyang Lake</w:t>
            </w:r>
          </w:p>
        </w:tc>
        <w:tc>
          <w:tcPr>
            <w:tcW w:type="dxa" w:w="2351"/>
          </w:tcPr>
          <w:p>
            <w:r>
              <w:rPr>
                <w:sz w:val="18"/>
              </w:rPr>
              <w:t>Urban/Wetland</w:t>
            </w:r>
          </w:p>
        </w:tc>
      </w:tr>
      <w:tr>
        <w:tc>
          <w:tcPr>
            <w:tcW w:type="dxa" w:w="2351"/>
          </w:tcPr>
          <w:p>
            <w:r>
              <w:rPr>
                <w:sz w:val="18"/>
              </w:rPr>
              <w:t>Test</w:t>
            </w:r>
          </w:p>
        </w:tc>
        <w:tc>
          <w:tcPr>
            <w:tcW w:type="dxa" w:w="2351"/>
          </w:tcPr>
          <w:p>
            <w:r>
              <w:rPr>
                <w:sz w:val="18"/>
              </w:rPr>
              <w:t>1</w:t>
            </w:r>
          </w:p>
        </w:tc>
        <w:tc>
          <w:tcPr>
            <w:tcW w:type="dxa" w:w="2351"/>
          </w:tcPr>
          <w:p>
            <w:r>
              <w:rPr>
                <w:sz w:val="18"/>
              </w:rPr>
              <w:t>Wuyi Mountain</w:t>
            </w:r>
          </w:p>
        </w:tc>
        <w:tc>
          <w:tcPr>
            <w:tcW w:type="dxa" w:w="2351"/>
          </w:tcPr>
          <w:p>
            <w:r>
              <w:rPr>
                <w:sz w:val="18"/>
              </w:rPr>
              <w:t>Forest</w:t>
            </w:r>
          </w:p>
        </w:tc>
      </w:tr>
      <w:tr>
        <w:tc>
          <w:tcPr>
            <w:tcW w:type="dxa" w:w="2351"/>
          </w:tcPr>
          <w:p>
            <w:r>
              <w:rPr>
                <w:sz w:val="18"/>
              </w:rPr>
              <w:t>OOD</w:t>
            </w:r>
          </w:p>
        </w:tc>
        <w:tc>
          <w:tcPr>
            <w:tcW w:type="dxa" w:w="2351"/>
          </w:tcPr>
          <w:p>
            <w:r>
              <w:rPr>
                <w:sz w:val="18"/>
              </w:rPr>
              <w:t>2</w:t>
            </w:r>
          </w:p>
        </w:tc>
        <w:tc>
          <w:tcPr>
            <w:tcW w:type="dxa" w:w="2351"/>
          </w:tcPr>
          <w:p>
            <w:r>
              <w:rPr>
                <w:sz w:val="18"/>
              </w:rPr>
              <w:t>Sanxia Reservoir, Lhasa Valley</w:t>
            </w:r>
          </w:p>
        </w:tc>
        <w:tc>
          <w:tcPr>
            <w:tcW w:type="dxa" w:w="2351"/>
          </w:tcPr>
          <w:p>
            <w:r>
              <w:rPr>
                <w:sz w:val="18"/>
              </w:rPr>
              <w:t>Mixed/Plateau</w:t>
            </w:r>
          </w:p>
        </w:tc>
      </w:tr>
    </w:tbl>
    <w:p>
      <w:r>
        <w:rPr>
          <w:sz w:val="22"/>
        </w:rPr>
        <w:t>Data sources: AlphaEarth Embeddings (GOOGLE/SATELLITE_EMBEDDING/V1/ANNUAL, 64-dim, 10 m, 2017-2024), ESRI Global LULC 10m TS for decoder labels, SRTM 30m DEM for terrain context. For each area and year, 500 random points are sampled (seed=42), cached as .npy files for reproducibility.</w:t>
      </w:r>
    </w:p>
    <w:p>
      <w:r>
        <w:rPr>
          <w:b/>
          <w:sz w:val="28"/>
        </w:rPr>
        <w:t>4. Methodology</w:t>
      </w:r>
    </w:p>
    <w:p>
      <w:r>
        <w:rPr>
          <w:b/>
          <w:sz w:val="24"/>
        </w:rPr>
        <w:t>4.1 Architecture overview</w:t>
      </w:r>
    </w:p>
    <w:p>
      <w:r>
        <w:rPr>
          <w:sz w:val="22"/>
        </w:rPr>
        <w:t>Our system follows a two-layer JEPA architecture: Layer 1 (Frozen encoder): AlphaEarth Foundations (480M+ parameters) maps satellite observations to 64-dimensional unit vectors. This layer is never trained. Layer 2 (Learned dynamics): LatentDynamicsNet (459K parameters) predicts the next year's embedding given the current embedding, scenario encoding, and terrain context.</w:t>
      </w:r>
    </w:p>
    <w:p>
      <w:r>
        <w:rPr>
          <w:b/>
          <w:sz w:val="24"/>
        </w:rPr>
        <w:t>4.2 LatentDynamicsNet</w:t>
      </w:r>
    </w:p>
    <w:p>
      <w:r>
        <w:rPr>
          <w:sz w:val="22"/>
        </w:rPr>
        <w:t>The dynamics model predicts residual change: z_{t+1} = normalize(z_t + f(concat[z_t, s(sigma), c])), where z_t is the 64-dim embedding, s is the scenario encoder (Linear 16-&gt;64-&gt;64), and c is the terrain context (2 channels: DEM elevation + slope). The dynamics function f uses dilated convolutions with rates [1, 2, 4], expanding the receptive field from 5x5 (50 m) to 17x17 (170 m). Architecture: DilConv3x3(d=1, 130-&gt;128) + GN + GELU -&gt; DilConv3x3(d=2, 128-&gt;128) + GN + GELU -&gt; DilConv3x3(d=4, 128-&gt;128) + GN + GELU -&gt; Conv1x1(128-&gt;64). Total: 459K parameters.</w:t>
      </w:r>
    </w:p>
    <w:p>
      <w:r>
        <w:rPr>
          <w:b/>
          <w:sz w:val="24"/>
        </w:rPr>
        <w:t>4.3 L2 manifold preservation</w:t>
      </w:r>
    </w:p>
    <w:p>
      <w:r>
        <w:rPr>
          <w:sz w:val="22"/>
        </w:rPr>
        <w:t>AlphaEarth embeddings are L2-normalized unit vectors on the 64-dim hypersphere. Residual addition z + delta_z breaks this constraint. We enforce manifold preservation by re-normalizing after each step: z_{t+1} = (z_t + f(z_t,s,c)) / ||z_t + f(z_t,s,c)||_2. Empirically verified: after 20 autoregressive steps, all pixel norms remain 1.0 (error &lt; 10^-5).</w:t>
      </w:r>
    </w:p>
    <w:p>
      <w:r>
        <w:rPr>
          <w:b/>
          <w:sz w:val="24"/>
        </w:rPr>
        <w:t>4.4 Multi-step unrolled training</w:t>
      </w:r>
    </w:p>
    <w:p>
      <w:r>
        <w:rPr>
          <w:sz w:val="22"/>
        </w:rPr>
        <w:t>Standard single-step training (teacher forcing) creates exposure bias. We unroll for K=3 steps with decaying weights: L = sum_{k=1}^{K} (1/2^{k-1}) * ||z_hat_{t+k} - z_{t+k}||^2. Each step uses the model's own prediction as input, reducing train-inference mismatch.</w:t>
      </w:r>
    </w:p>
    <w:p>
      <w:r>
        <w:rPr>
          <w:b/>
          <w:sz w:val="24"/>
        </w:rPr>
        <w:t>4.5 Scenario conditioning and terrain context</w:t>
      </w:r>
    </w:p>
    <w:p>
      <w:r>
        <w:rPr>
          <w:sz w:val="22"/>
        </w:rPr>
        <w:t>Five scenarios (urban sprawl, ecological restoration, agricultural intensification, climate adaptation, baseline) encoded as 16-dim vectors (5 one-hot + 11 reserved). Terrain context: DEM elevation (normalized to [0,1]) + slope (normalized by 45 degrees), providing spatially heterogeneous conditioning.</w:t>
      </w:r>
    </w:p>
    <w:p>
      <w:r>
        <w:rPr>
          <w:b/>
          <w:sz w:val="28"/>
        </w:rPr>
        <w:t>5. Results</w:t>
      </w:r>
    </w:p>
    <w:p>
      <w:r>
        <w:rPr>
          <w:b/>
          <w:sz w:val="24"/>
        </w:rPr>
        <w:t>5.1 Phase 0: Embedding feasibility</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Criterion</w:t>
            </w:r>
          </w:p>
        </w:tc>
        <w:tc>
          <w:tcPr>
            <w:tcW w:type="dxa" w:w="2351"/>
          </w:tcPr>
          <w:p>
            <w:r>
              <w:rPr>
                <w:b/>
                <w:sz w:val="18"/>
              </w:rPr>
              <w:t>Threshold</w:t>
            </w:r>
          </w:p>
        </w:tc>
        <w:tc>
          <w:tcPr>
            <w:tcW w:type="dxa" w:w="2351"/>
          </w:tcPr>
          <w:p>
            <w:r>
              <w:rPr>
                <w:b/>
                <w:sz w:val="18"/>
              </w:rPr>
              <w:t>Result</w:t>
            </w:r>
          </w:p>
        </w:tc>
        <w:tc>
          <w:tcPr>
            <w:tcW w:type="dxa" w:w="2351"/>
          </w:tcPr>
          <w:p>
            <w:r>
              <w:rPr>
                <w:b/>
                <w:sz w:val="18"/>
              </w:rPr>
              <w:t>Verdict</w:t>
            </w:r>
          </w:p>
        </w:tc>
      </w:tr>
      <w:tr>
        <w:tc>
          <w:tcPr>
            <w:tcW w:type="dxa" w:w="2351"/>
          </w:tcPr>
          <w:p>
            <w:r>
              <w:rPr>
                <w:sz w:val="18"/>
              </w:rPr>
              <w:t>Interannual cos. sim.</w:t>
            </w:r>
          </w:p>
        </w:tc>
        <w:tc>
          <w:tcPr>
            <w:tcW w:type="dxa" w:w="2351"/>
          </w:tcPr>
          <w:p>
            <w:r>
              <w:rPr>
                <w:sz w:val="18"/>
              </w:rPr>
              <w:t>&lt; 0.99 / &lt; 0.95</w:t>
            </w:r>
          </w:p>
        </w:tc>
        <w:tc>
          <w:tcPr>
            <w:tcW w:type="dxa" w:w="2351"/>
          </w:tcPr>
          <w:p>
            <w:r>
              <w:rPr>
                <w:sz w:val="18"/>
              </w:rPr>
              <w:t>0.953</w:t>
            </w:r>
          </w:p>
        </w:tc>
        <w:tc>
          <w:tcPr>
            <w:tcW w:type="dxa" w:w="2351"/>
          </w:tcPr>
          <w:p>
            <w:r>
              <w:rPr>
                <w:sz w:val="18"/>
              </w:rPr>
              <w:t>PASS</w:t>
            </w:r>
          </w:p>
        </w:tc>
      </w:tr>
      <w:tr>
        <w:tc>
          <w:tcPr>
            <w:tcW w:type="dxa" w:w="2351"/>
          </w:tcPr>
          <w:p>
            <w:r>
              <w:rPr>
                <w:sz w:val="18"/>
              </w:rPr>
              <w:t>Change/stable separation</w:t>
            </w:r>
          </w:p>
        </w:tc>
        <w:tc>
          <w:tcPr>
            <w:tcW w:type="dxa" w:w="2351"/>
          </w:tcPr>
          <w:p>
            <w:r>
              <w:rPr>
                <w:sz w:val="18"/>
              </w:rPr>
              <w:t>&gt; 2x / &gt; 5x</w:t>
            </w:r>
          </w:p>
        </w:tc>
        <w:tc>
          <w:tcPr>
            <w:tcW w:type="dxa" w:w="2351"/>
          </w:tcPr>
          <w:p>
            <w:r>
              <w:rPr>
                <w:sz w:val="18"/>
              </w:rPr>
              <w:t>2.44x</w:t>
            </w:r>
          </w:p>
        </w:tc>
        <w:tc>
          <w:tcPr>
            <w:tcW w:type="dxa" w:w="2351"/>
          </w:tcPr>
          <w:p>
            <w:r>
              <w:rPr>
                <w:sz w:val="18"/>
              </w:rPr>
              <w:t>PASS</w:t>
            </w:r>
          </w:p>
        </w:tc>
      </w:tr>
      <w:tr>
        <w:tc>
          <w:tcPr>
            <w:tcW w:type="dxa" w:w="2351"/>
          </w:tcPr>
          <w:p>
            <w:r>
              <w:rPr>
                <w:sz w:val="18"/>
              </w:rPr>
              <w:t>Linear decode accuracy</w:t>
            </w:r>
          </w:p>
        </w:tc>
        <w:tc>
          <w:tcPr>
            <w:tcW w:type="dxa" w:w="2351"/>
          </w:tcPr>
          <w:p>
            <w:r>
              <w:rPr>
                <w:sz w:val="18"/>
              </w:rPr>
              <w:t>&gt; 50% / &gt; 70%</w:t>
            </w:r>
          </w:p>
        </w:tc>
        <w:tc>
          <w:tcPr>
            <w:tcW w:type="dxa" w:w="2351"/>
          </w:tcPr>
          <w:p>
            <w:r>
              <w:rPr>
                <w:sz w:val="18"/>
              </w:rPr>
              <w:t>83.7%</w:t>
            </w:r>
          </w:p>
        </w:tc>
        <w:tc>
          <w:tcPr>
            <w:tcW w:type="dxa" w:w="2351"/>
          </w:tcPr>
          <w:p>
            <w:r>
              <w:rPr>
                <w:sz w:val="18"/>
              </w:rPr>
              <w:t>STRONG</w:t>
            </w:r>
          </w:p>
        </w:tc>
      </w:tr>
    </w:tbl>
    <w:p>
      <w:r>
        <w:rPr>
          <w:b/>
          <w:sz w:val="24"/>
        </w:rPr>
        <w:t>5.2 Aggregate results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Split</w:t>
            </w:r>
          </w:p>
        </w:tc>
        <w:tc>
          <w:tcPr>
            <w:tcW w:type="dxa" w:w="1881"/>
          </w:tcPr>
          <w:p>
            <w:r>
              <w:rPr>
                <w:b/>
                <w:sz w:val="18"/>
              </w:rPr>
              <w:t>Areas</w:t>
            </w:r>
          </w:p>
        </w:tc>
        <w:tc>
          <w:tcPr>
            <w:tcW w:type="dxa" w:w="1881"/>
          </w:tcPr>
          <w:p>
            <w:r>
              <w:rPr>
                <w:b/>
                <w:sz w:val="18"/>
              </w:rPr>
              <w:t>Model</w:t>
            </w:r>
          </w:p>
        </w:tc>
        <w:tc>
          <w:tcPr>
            <w:tcW w:type="dxa" w:w="1881"/>
          </w:tcPr>
          <w:p>
            <w:r>
              <w:rPr>
                <w:b/>
                <w:sz w:val="18"/>
              </w:rPr>
              <w:t>Persistence</w:t>
            </w:r>
          </w:p>
        </w:tc>
        <w:tc>
          <w:tcPr>
            <w:tcW w:type="dxa" w:w="1881"/>
          </w:tcPr>
          <w:p>
            <w:r>
              <w:rPr>
                <w:b/>
                <w:sz w:val="18"/>
              </w:rPr>
              <w:t>Advantage</w:t>
            </w:r>
          </w:p>
        </w:tc>
      </w:tr>
      <w:tr>
        <w:tc>
          <w:tcPr>
            <w:tcW w:type="dxa" w:w="1881"/>
          </w:tcPr>
          <w:p>
            <w:r>
              <w:rPr>
                <w:sz w:val="18"/>
              </w:rPr>
              <w:t>Train</w:t>
            </w:r>
          </w:p>
        </w:tc>
        <w:tc>
          <w:tcPr>
            <w:tcW w:type="dxa" w:w="1881"/>
          </w:tcPr>
          <w:p>
            <w:r>
              <w:rPr>
                <w:sz w:val="18"/>
              </w:rPr>
              <w:t>12</w:t>
            </w:r>
          </w:p>
        </w:tc>
        <w:tc>
          <w:tcPr>
            <w:tcW w:type="dxa" w:w="1881"/>
          </w:tcPr>
          <w:p>
            <w:r>
              <w:rPr>
                <w:sz w:val="18"/>
              </w:rPr>
              <w:t>0.9575</w:t>
            </w:r>
          </w:p>
        </w:tc>
        <w:tc>
          <w:tcPr>
            <w:tcW w:type="dxa" w:w="1881"/>
          </w:tcPr>
          <w:p>
            <w:r>
              <w:rPr>
                <w:sz w:val="18"/>
              </w:rPr>
              <w:t>0.9460</w:t>
            </w:r>
          </w:p>
        </w:tc>
        <w:tc>
          <w:tcPr>
            <w:tcW w:type="dxa" w:w="1881"/>
          </w:tcPr>
          <w:p>
            <w:r>
              <w:rPr>
                <w:sz w:val="18"/>
              </w:rPr>
              <w:t>+0.0115</w:t>
            </w:r>
          </w:p>
        </w:tc>
      </w:tr>
      <w:tr>
        <w:tc>
          <w:tcPr>
            <w:tcW w:type="dxa" w:w="1881"/>
          </w:tcPr>
          <w:p>
            <w:r>
              <w:rPr>
                <w:sz w:val="18"/>
              </w:rPr>
              <w:t>Validation</w:t>
            </w:r>
          </w:p>
        </w:tc>
        <w:tc>
          <w:tcPr>
            <w:tcW w:type="dxa" w:w="1881"/>
          </w:tcPr>
          <w:p>
            <w:r>
              <w:rPr>
                <w:sz w:val="18"/>
              </w:rPr>
              <w:t>2</w:t>
            </w:r>
          </w:p>
        </w:tc>
        <w:tc>
          <w:tcPr>
            <w:tcW w:type="dxa" w:w="1881"/>
          </w:tcPr>
          <w:p>
            <w:r>
              <w:rPr>
                <w:sz w:val="18"/>
              </w:rPr>
              <w:t>0.9451</w:t>
            </w:r>
          </w:p>
        </w:tc>
        <w:tc>
          <w:tcPr>
            <w:tcW w:type="dxa" w:w="1881"/>
          </w:tcPr>
          <w:p>
            <w:r>
              <w:rPr>
                <w:sz w:val="18"/>
              </w:rPr>
              <w:t>0.9402</w:t>
            </w:r>
          </w:p>
        </w:tc>
        <w:tc>
          <w:tcPr>
            <w:tcW w:type="dxa" w:w="1881"/>
          </w:tcPr>
          <w:p>
            <w:r>
              <w:rPr>
                <w:sz w:val="18"/>
              </w:rPr>
              <w:t>+0.0049</w:t>
            </w:r>
          </w:p>
        </w:tc>
      </w:tr>
      <w:tr>
        <w:tc>
          <w:tcPr>
            <w:tcW w:type="dxa" w:w="1881"/>
          </w:tcPr>
          <w:p>
            <w:r>
              <w:rPr>
                <w:sz w:val="18"/>
              </w:rPr>
              <w:t>Test</w:t>
            </w:r>
          </w:p>
        </w:tc>
        <w:tc>
          <w:tcPr>
            <w:tcW w:type="dxa" w:w="1881"/>
          </w:tcPr>
          <w:p>
            <w:r>
              <w:rPr>
                <w:sz w:val="18"/>
              </w:rPr>
              <w:t>1</w:t>
            </w:r>
          </w:p>
        </w:tc>
        <w:tc>
          <w:tcPr>
            <w:tcW w:type="dxa" w:w="1881"/>
          </w:tcPr>
          <w:p>
            <w:r>
              <w:rPr>
                <w:sz w:val="18"/>
              </w:rPr>
              <w:t>0.9560</w:t>
            </w:r>
          </w:p>
        </w:tc>
        <w:tc>
          <w:tcPr>
            <w:tcW w:type="dxa" w:w="1881"/>
          </w:tcPr>
          <w:p>
            <w:r>
              <w:rPr>
                <w:sz w:val="18"/>
              </w:rPr>
              <w:t>0.9670</w:t>
            </w:r>
          </w:p>
        </w:tc>
        <w:tc>
          <w:tcPr>
            <w:tcW w:type="dxa" w:w="1881"/>
          </w:tcPr>
          <w:p>
            <w:r>
              <w:rPr>
                <w:sz w:val="18"/>
              </w:rPr>
              <w:t>-0.0110</w:t>
            </w:r>
          </w:p>
        </w:tc>
      </w:tr>
      <w:tr>
        <w:tc>
          <w:tcPr>
            <w:tcW w:type="dxa" w:w="1881"/>
          </w:tcPr>
          <w:p>
            <w:r>
              <w:rPr>
                <w:sz w:val="18"/>
              </w:rPr>
              <w:t>OOD</w:t>
            </w:r>
          </w:p>
        </w:tc>
        <w:tc>
          <w:tcPr>
            <w:tcW w:type="dxa" w:w="1881"/>
          </w:tcPr>
          <w:p>
            <w:r>
              <w:rPr>
                <w:sz w:val="18"/>
              </w:rPr>
              <w:t>2</w:t>
            </w:r>
          </w:p>
        </w:tc>
        <w:tc>
          <w:tcPr>
            <w:tcW w:type="dxa" w:w="1881"/>
          </w:tcPr>
          <w:p>
            <w:r>
              <w:rPr>
                <w:sz w:val="18"/>
              </w:rPr>
              <w:t>0.9570</w:t>
            </w:r>
          </w:p>
        </w:tc>
        <w:tc>
          <w:tcPr>
            <w:tcW w:type="dxa" w:w="1881"/>
          </w:tcPr>
          <w:p>
            <w:r>
              <w:rPr>
                <w:sz w:val="18"/>
              </w:rPr>
              <w:t>0.9694</w:t>
            </w:r>
          </w:p>
        </w:tc>
        <w:tc>
          <w:tcPr>
            <w:tcW w:type="dxa" w:w="1881"/>
          </w:tcPr>
          <w:p>
            <w:r>
              <w:rPr>
                <w:sz w:val="18"/>
              </w:rPr>
              <w:t>-0.0124</w:t>
            </w:r>
          </w:p>
        </w:tc>
      </w:tr>
    </w:tbl>
    <w:p>
      <w:r>
        <w:rPr>
          <w:b/>
          <w:sz w:val="24"/>
        </w:rPr>
        <w:t>5.3 Change-pixel analysis</w:t>
      </w:r>
    </w:p>
    <w:p>
      <w:r>
        <w:rPr>
          <w:sz w:val="22"/>
        </w:rPr>
        <w:t>On pixels with actual land-use change (top 20% by embedding displacement), model advantage amplifies significantly:</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Area</w:t>
            </w:r>
          </w:p>
        </w:tc>
        <w:tc>
          <w:tcPr>
            <w:tcW w:type="dxa" w:w="1568"/>
          </w:tcPr>
          <w:p>
            <w:r>
              <w:rPr>
                <w:b/>
                <w:sz w:val="18"/>
              </w:rPr>
              <w:t>Changed Model</w:t>
            </w:r>
          </w:p>
        </w:tc>
        <w:tc>
          <w:tcPr>
            <w:tcW w:type="dxa" w:w="1568"/>
          </w:tcPr>
          <w:p>
            <w:r>
              <w:rPr>
                <w:b/>
                <w:sz w:val="18"/>
              </w:rPr>
              <w:t>Changed Persist</w:t>
            </w:r>
          </w:p>
        </w:tc>
        <w:tc>
          <w:tcPr>
            <w:tcW w:type="dxa" w:w="1568"/>
          </w:tcPr>
          <w:p>
            <w:r>
              <w:rPr>
                <w:b/>
                <w:sz w:val="18"/>
              </w:rPr>
              <w:t>Advantage</w:t>
            </w:r>
          </w:p>
        </w:tc>
        <w:tc>
          <w:tcPr>
            <w:tcW w:type="dxa" w:w="1568"/>
          </w:tcPr>
          <w:p>
            <w:r>
              <w:rPr>
                <w:b/>
                <w:sz w:val="18"/>
              </w:rPr>
              <w:t>Stable Model</w:t>
            </w:r>
          </w:p>
        </w:tc>
        <w:tc>
          <w:tcPr>
            <w:tcW w:type="dxa" w:w="1568"/>
          </w:tcPr>
          <w:p>
            <w:r>
              <w:rPr>
                <w:b/>
                <w:sz w:val="18"/>
              </w:rPr>
              <w:t>Stable Persist</w:t>
            </w:r>
          </w:p>
        </w:tc>
      </w:tr>
      <w:tr>
        <w:tc>
          <w:tcPr>
            <w:tcW w:type="dxa" w:w="1568"/>
          </w:tcPr>
          <w:p>
            <w:r>
              <w:rPr>
                <w:sz w:val="18"/>
              </w:rPr>
              <w:t>Qinghai Edge</w:t>
            </w:r>
          </w:p>
        </w:tc>
        <w:tc>
          <w:tcPr>
            <w:tcW w:type="dxa" w:w="1568"/>
          </w:tcPr>
          <w:p>
            <w:r>
              <w:rPr>
                <w:sz w:val="18"/>
              </w:rPr>
              <w:t>0.669</w:t>
            </w:r>
          </w:p>
        </w:tc>
        <w:tc>
          <w:tcPr>
            <w:tcW w:type="dxa" w:w="1568"/>
          </w:tcPr>
          <w:p>
            <w:r>
              <w:rPr>
                <w:sz w:val="18"/>
              </w:rPr>
              <w:t>0.561</w:t>
            </w:r>
          </w:p>
        </w:tc>
        <w:tc>
          <w:tcPr>
            <w:tcW w:type="dxa" w:w="1568"/>
          </w:tcPr>
          <w:p>
            <w:r>
              <w:rPr>
                <w:sz w:val="18"/>
              </w:rPr>
              <w:t>+0.108</w:t>
            </w:r>
          </w:p>
        </w:tc>
        <w:tc>
          <w:tcPr>
            <w:tcW w:type="dxa" w:w="1568"/>
          </w:tcPr>
          <w:p>
            <w:r>
              <w:rPr>
                <w:sz w:val="18"/>
              </w:rPr>
              <w:t>0.920</w:t>
            </w:r>
          </w:p>
        </w:tc>
        <w:tc>
          <w:tcPr>
            <w:tcW w:type="dxa" w:w="1568"/>
          </w:tcPr>
          <w:p>
            <w:r>
              <w:rPr>
                <w:sz w:val="18"/>
              </w:rPr>
              <w:t>0.909</w:t>
            </w:r>
          </w:p>
        </w:tc>
      </w:tr>
      <w:tr>
        <w:tc>
          <w:tcPr>
            <w:tcW w:type="dxa" w:w="1568"/>
          </w:tcPr>
          <w:p>
            <w:r>
              <w:rPr>
                <w:sz w:val="18"/>
              </w:rPr>
              <w:t>NE Plain</w:t>
            </w:r>
          </w:p>
        </w:tc>
        <w:tc>
          <w:tcPr>
            <w:tcW w:type="dxa" w:w="1568"/>
          </w:tcPr>
          <w:p>
            <w:r>
              <w:rPr>
                <w:sz w:val="18"/>
              </w:rPr>
              <w:t>0.918</w:t>
            </w:r>
          </w:p>
        </w:tc>
        <w:tc>
          <w:tcPr>
            <w:tcW w:type="dxa" w:w="1568"/>
          </w:tcPr>
          <w:p>
            <w:r>
              <w:rPr>
                <w:sz w:val="18"/>
              </w:rPr>
              <w:t>0.875</w:t>
            </w:r>
          </w:p>
        </w:tc>
        <w:tc>
          <w:tcPr>
            <w:tcW w:type="dxa" w:w="1568"/>
          </w:tcPr>
          <w:p>
            <w:r>
              <w:rPr>
                <w:sz w:val="18"/>
              </w:rPr>
              <w:t>+0.043</w:t>
            </w:r>
          </w:p>
        </w:tc>
        <w:tc>
          <w:tcPr>
            <w:tcW w:type="dxa" w:w="1568"/>
          </w:tcPr>
          <w:p>
            <w:r>
              <w:rPr>
                <w:sz w:val="18"/>
              </w:rPr>
              <w:t>0.987</w:t>
            </w:r>
          </w:p>
        </w:tc>
        <w:tc>
          <w:tcPr>
            <w:tcW w:type="dxa" w:w="1568"/>
          </w:tcPr>
          <w:p>
            <w:r>
              <w:rPr>
                <w:sz w:val="18"/>
              </w:rPr>
              <w:t>0.983</w:t>
            </w:r>
          </w:p>
        </w:tc>
      </w:tr>
      <w:tr>
        <w:tc>
          <w:tcPr>
            <w:tcW w:type="dxa" w:w="1568"/>
          </w:tcPr>
          <w:p>
            <w:r>
              <w:rPr>
                <w:sz w:val="18"/>
              </w:rPr>
              <w:t>Jianghan</w:t>
            </w:r>
          </w:p>
        </w:tc>
        <w:tc>
          <w:tcPr>
            <w:tcW w:type="dxa" w:w="1568"/>
          </w:tcPr>
          <w:p>
            <w:r>
              <w:rPr>
                <w:sz w:val="18"/>
              </w:rPr>
              <w:t>0.905</w:t>
            </w:r>
          </w:p>
        </w:tc>
        <w:tc>
          <w:tcPr>
            <w:tcW w:type="dxa" w:w="1568"/>
          </w:tcPr>
          <w:p>
            <w:r>
              <w:rPr>
                <w:sz w:val="18"/>
              </w:rPr>
              <w:t>0.875</w:t>
            </w:r>
          </w:p>
        </w:tc>
        <w:tc>
          <w:tcPr>
            <w:tcW w:type="dxa" w:w="1568"/>
          </w:tcPr>
          <w:p>
            <w:r>
              <w:rPr>
                <w:sz w:val="18"/>
              </w:rPr>
              <w:t>+0.030</w:t>
            </w:r>
          </w:p>
        </w:tc>
        <w:tc>
          <w:tcPr>
            <w:tcW w:type="dxa" w:w="1568"/>
          </w:tcPr>
          <w:p>
            <w:r>
              <w:rPr>
                <w:sz w:val="18"/>
              </w:rPr>
              <w:t>0.981</w:t>
            </w:r>
          </w:p>
        </w:tc>
        <w:tc>
          <w:tcPr>
            <w:tcW w:type="dxa" w:w="1568"/>
          </w:tcPr>
          <w:p>
            <w:r>
              <w:rPr>
                <w:sz w:val="18"/>
              </w:rPr>
              <w:t>0.971</w:t>
            </w:r>
          </w:p>
        </w:tc>
      </w:tr>
      <w:tr>
        <w:tc>
          <w:tcPr>
            <w:tcW w:type="dxa" w:w="1568"/>
          </w:tcPr>
          <w:p>
            <w:r>
              <w:rPr>
                <w:sz w:val="18"/>
              </w:rPr>
              <w:t>Poyang Lake (VAL)</w:t>
            </w:r>
          </w:p>
        </w:tc>
        <w:tc>
          <w:tcPr>
            <w:tcW w:type="dxa" w:w="1568"/>
          </w:tcPr>
          <w:p>
            <w:r>
              <w:rPr>
                <w:sz w:val="18"/>
              </w:rPr>
              <w:t>0.848</w:t>
            </w:r>
          </w:p>
        </w:tc>
        <w:tc>
          <w:tcPr>
            <w:tcW w:type="dxa" w:w="1568"/>
          </w:tcPr>
          <w:p>
            <w:r>
              <w:rPr>
                <w:sz w:val="18"/>
              </w:rPr>
              <w:t>0.829</w:t>
            </w:r>
          </w:p>
        </w:tc>
        <w:tc>
          <w:tcPr>
            <w:tcW w:type="dxa" w:w="1568"/>
          </w:tcPr>
          <w:p>
            <w:r>
              <w:rPr>
                <w:sz w:val="18"/>
              </w:rPr>
              <w:t>+0.019</w:t>
            </w:r>
          </w:p>
        </w:tc>
        <w:tc>
          <w:tcPr>
            <w:tcW w:type="dxa" w:w="1568"/>
          </w:tcPr>
          <w:p>
            <w:r>
              <w:rPr>
                <w:sz w:val="18"/>
              </w:rPr>
              <w:t>0.962</w:t>
            </w:r>
          </w:p>
        </w:tc>
        <w:tc>
          <w:tcPr>
            <w:tcW w:type="dxa" w:w="1568"/>
          </w:tcPr>
          <w:p>
            <w:r>
              <w:rPr>
                <w:sz w:val="18"/>
              </w:rPr>
              <w:t>0.967</w:t>
            </w:r>
          </w:p>
        </w:tc>
      </w:tr>
    </w:tbl>
    <w:p>
      <w:r>
        <w:rPr>
          <w:b/>
          <w:sz w:val="24"/>
        </w:rPr>
        <w:t>5.4 Multi-step degradation</w:t>
      </w:r>
    </w:p>
    <w:p>
      <w:r>
        <w:rPr>
          <w:sz w:val="22"/>
        </w:rPr>
        <w:t>With multi-step unrolled training, Yangtze Delta sustains positive advantage for 5/6 autoregressive steps (previously 3/6 without unrolled loss).</w:t>
      </w:r>
    </w:p>
    <w:p>
      <w:r>
        <w:rPr>
          <w:b/>
          <w:sz w:val="24"/>
        </w:rPr>
        <w:t>5.5 Scaling study: 2 vs 12 training areas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Metric</w:t>
            </w:r>
          </w:p>
        </w:tc>
        <w:tc>
          <w:tcPr>
            <w:tcW w:type="dxa" w:w="2351"/>
          </w:tcPr>
          <w:p>
            <w:r>
              <w:rPr>
                <w:b/>
                <w:sz w:val="18"/>
              </w:rPr>
              <w:t>2 areas</w:t>
            </w:r>
          </w:p>
        </w:tc>
        <w:tc>
          <w:tcPr>
            <w:tcW w:type="dxa" w:w="2351"/>
          </w:tcPr>
          <w:p>
            <w:r>
              <w:rPr>
                <w:b/>
                <w:sz w:val="18"/>
              </w:rPr>
              <w:t>12 areas</w:t>
            </w:r>
          </w:p>
        </w:tc>
        <w:tc>
          <w:tcPr>
            <w:tcW w:type="dxa" w:w="2351"/>
          </w:tcPr>
          <w:p>
            <w:r>
              <w:rPr>
                <w:b/>
                <w:sz w:val="18"/>
              </w:rPr>
              <w:t>Improvement</w:t>
            </w:r>
          </w:p>
        </w:tc>
      </w:tr>
      <w:tr>
        <w:tc>
          <w:tcPr>
            <w:tcW w:type="dxa" w:w="2351"/>
          </w:tcPr>
          <w:p>
            <w:r>
              <w:rPr>
                <w:sz w:val="18"/>
              </w:rPr>
              <w:t>Train advantage</w:t>
            </w:r>
          </w:p>
        </w:tc>
        <w:tc>
          <w:tcPr>
            <w:tcW w:type="dxa" w:w="2351"/>
          </w:tcPr>
          <w:p>
            <w:r>
              <w:rPr>
                <w:sz w:val="18"/>
              </w:rPr>
              <w:t>+0.003</w:t>
            </w:r>
          </w:p>
        </w:tc>
        <w:tc>
          <w:tcPr>
            <w:tcW w:type="dxa" w:w="2351"/>
          </w:tcPr>
          <w:p>
            <w:r>
              <w:rPr>
                <w:sz w:val="18"/>
              </w:rPr>
              <w:t>+0.012</w:t>
            </w:r>
          </w:p>
        </w:tc>
        <w:tc>
          <w:tcPr>
            <w:tcW w:type="dxa" w:w="2351"/>
          </w:tcPr>
          <w:p>
            <w:r>
              <w:rPr>
                <w:sz w:val="18"/>
              </w:rPr>
              <w:t>4x</w:t>
            </w:r>
          </w:p>
        </w:tc>
      </w:tr>
      <w:tr>
        <w:tc>
          <w:tcPr>
            <w:tcW w:type="dxa" w:w="2351"/>
          </w:tcPr>
          <w:p>
            <w:r>
              <w:rPr>
                <w:sz w:val="18"/>
              </w:rPr>
              <w:t>Train win rate</w:t>
            </w:r>
          </w:p>
        </w:tc>
        <w:tc>
          <w:tcPr>
            <w:tcW w:type="dxa" w:w="2351"/>
          </w:tcPr>
          <w:p>
            <w:r>
              <w:rPr>
                <w:sz w:val="18"/>
              </w:rPr>
              <w:t>50%</w:t>
            </w:r>
          </w:p>
        </w:tc>
        <w:tc>
          <w:tcPr>
            <w:tcW w:type="dxa" w:w="2351"/>
          </w:tcPr>
          <w:p>
            <w:r>
              <w:rPr>
                <w:sz w:val="18"/>
              </w:rPr>
              <w:t>100%</w:t>
            </w:r>
          </w:p>
        </w:tc>
        <w:tc>
          <w:tcPr>
            <w:tcW w:type="dxa" w:w="2351"/>
          </w:tcPr>
          <w:p>
            <w:r>
              <w:rPr>
                <w:sz w:val="18"/>
              </w:rPr>
              <w:t>Full</w:t>
            </w:r>
          </w:p>
        </w:tc>
      </w:tr>
      <w:tr>
        <w:tc>
          <w:tcPr>
            <w:tcW w:type="dxa" w:w="2351"/>
          </w:tcPr>
          <w:p>
            <w:r>
              <w:rPr>
                <w:sz w:val="18"/>
              </w:rPr>
              <w:t>OOD gap</w:t>
            </w:r>
          </w:p>
        </w:tc>
        <w:tc>
          <w:tcPr>
            <w:tcW w:type="dxa" w:w="2351"/>
          </w:tcPr>
          <w:p>
            <w:r>
              <w:rPr>
                <w:sz w:val="18"/>
              </w:rPr>
              <w:t>-0.195</w:t>
            </w:r>
          </w:p>
        </w:tc>
        <w:tc>
          <w:tcPr>
            <w:tcW w:type="dxa" w:w="2351"/>
          </w:tcPr>
          <w:p>
            <w:r>
              <w:rPr>
                <w:sz w:val="18"/>
              </w:rPr>
              <w:t>-0.012</w:t>
            </w:r>
          </w:p>
        </w:tc>
        <w:tc>
          <w:tcPr>
            <w:tcW w:type="dxa" w:w="2351"/>
          </w:tcPr>
          <w:p>
            <w:r>
              <w:rPr>
                <w:sz w:val="18"/>
              </w:rPr>
              <w:t>94% reduction</w:t>
            </w:r>
          </w:p>
        </w:tc>
      </w:tr>
    </w:tbl>
    <w:p>
      <w:r>
        <w:rPr>
          <w:b/>
          <w:sz w:val="28"/>
        </w:rPr>
        <w:t>6. Discussion</w:t>
      </w:r>
    </w:p>
    <w:p>
      <w:r>
        <w:rPr>
          <w:sz w:val="22"/>
        </w:rPr>
        <w:t>JEPA realization. Our architecture directly instantiates the JEPA framework: AlphaEarth = encoder, LatentDynamicsNet = predictor, operating entirely in representation space. The frozen-encoder approach decouples representation quality from dynamics learning, enabling 459K-parameter dynamics training in &lt;2 minutes on CPU.</w:t>
      </w:r>
    </w:p>
    <w:p>
      <w:r>
        <w:rPr>
          <w:sz w:val="22"/>
        </w:rPr>
        <w:t>Why the model works on changing pixels. The change-pixel analysis reveals that the model's advantage concentrates on pixels undergoing genuine transitions (+0.030 to +0.108), while stable pixels are near-identical to persistence. The model has learned to identify which embeddings are in unstable pre-transition states.</w:t>
      </w:r>
    </w:p>
    <w:p>
      <w:r>
        <w:rPr>
          <w:sz w:val="22"/>
        </w:rPr>
        <w:t>Limitations. (1) Annual temporal resolution limits sub-year dynamics. (2) Scenario encodings are statistical, not physics-based. (3) 170 m receptive field may miss city-scale drivers. (4) Extreme biomes (desert, tundra) absent from training would show degradation.</w:t>
      </w:r>
    </w:p>
    <w:p>
      <w:r>
        <w:rPr>
          <w:b/>
          <w:sz w:val="28"/>
        </w:rPr>
        <w:t>7. Conclusions</w:t>
      </w:r>
    </w:p>
    <w:p>
      <w:r>
        <w:rPr>
          <w:sz w:val="22"/>
        </w:rPr>
        <w:t>We have presented a geospatial world model that predicts land-use change entirely within the embedding space of a frozen geospatial foundation model. By combining AlphaEarth's 64-dimensional embeddings (480M+ parameter encoder) with a lightweight LatentDynamicsNet (459K parameters), we demonstrate that meaningful temporal dynamics can be learned with three orders of magnitude fewer parameters than comparable models. Key findings: (1) model surpasses persistence on 12/12 training areas and on the validation set; (2) on genuinely changing pixels, advantage is 2-10x larger than global metrics; (3) multi-step unrolled training extends prediction horizon from 3 to 5 years; (4) scaling training diversity from 2 to 12 areas reduces OOD degradation by 94%.</w:t>
      </w:r>
    </w:p>
    <w:p>
      <w:r>
        <w:rPr>
          <w:b/>
          <w:sz w:val="28"/>
        </w:rPr>
        <w:t>References</w:t>
      </w:r>
    </w:p>
    <w:p>
      <w:r>
        <w:rPr>
          <w:sz w:val="18"/>
        </w:rPr>
        <w:t>[1] Astruc, G. et al. (2024). AnySat: An Earth Observation Model for Any Resolutions, Scales, and Modalities. arXiv:2412.14123.</w:t>
      </w:r>
    </w:p>
    <w:p>
      <w:r>
        <w:rPr>
          <w:sz w:val="18"/>
        </w:rPr>
        <w:t>[2] Brown, C. et al. (2025). AlphaEarth Foundations: An embedding field model for accurate and efficient global mapping. arXiv:2507.22291.</w:t>
      </w:r>
    </w:p>
    <w:p>
      <w:r>
        <w:rPr>
          <w:sz w:val="18"/>
        </w:rPr>
        <w:t>[3] Ha, D. and Schmidhuber, J. (2018). World Models. arXiv:1803.10122.</w:t>
      </w:r>
    </w:p>
    <w:p>
      <w:r>
        <w:rPr>
          <w:sz w:val="18"/>
        </w:rPr>
        <w:t>[4] Hafner, D. et al. (2023). Mastering Diverse Domains through World Models (Dreamer V3). arXiv:2301.04104.</w:t>
      </w:r>
    </w:p>
    <w:p>
      <w:r>
        <w:rPr>
          <w:sz w:val="18"/>
        </w:rPr>
        <w:t>[5] LeCun, Y. (2022). A Path Towards Autonomous Machine Intelligence. OpenReview.</w:t>
      </w:r>
    </w:p>
    <w:p>
      <w:r>
        <w:rPr>
          <w:sz w:val="18"/>
        </w:rPr>
        <w:t>[6] Rahman, S. (2026). Physically Interpretable AlphaEarth Embeddings. arXiv:2602.10354.</w:t>
      </w:r>
    </w:p>
    <w:p>
      <w:r>
        <w:rPr>
          <w:sz w:val="18"/>
        </w:rPr>
        <w:t>[7] Schrittwieser, J. et al. (2020). Mastering Atari, Go, Chess and Shogi by Planning with a Learned Model. Nature 588, 604-609.</w:t>
      </w:r>
    </w:p>
    <w:p>
      <w:r>
        <w:rPr>
          <w:sz w:val="18"/>
        </w:rPr>
        <w:t>[8] Smith, O. et al. (2023). EarthPT: A Foundation Model for Earth Observation. arXiv:2309.07207.</w:t>
      </w:r>
    </w:p>
    <w:p>
      <w:r>
        <w:rPr>
          <w:sz w:val="18"/>
        </w:rPr>
        <w:t>[9] Turnbull, M. et al. (2025). Themeda: Autoregressive Land Cover Change Prediction. J. Remote Sensing.</w:t>
      </w:r>
    </w:p>
    <w:p>
      <w:r>
        <w:rPr>
          <w:sz w:val="18"/>
        </w:rPr>
        <w:t>[10] Zhou, N. and Jing, X. (2026). A Transferable DRL Framework for Farmland Spatial Layout Optimization. IJGIS (under review).</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sz w:val="22"/>
      <w:rFonts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