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面向GIS的多模态空间数据智能融合引擎：架构设计与实现</w:t>
      </w:r>
    </w:p>
    <w:p>
      <w:pPr>
        <w:pStyle w:val="Heading2"/>
      </w:pPr>
      <w:r>
        <w:t>Multi-Modal Spatial Data Intelligent Fusion Engine Architecture Design and Implementation</w:t>
      </w:r>
    </w:p>
    <w:p>
      <w:r>
        <w:rPr>
          <w:b/>
          <w:sz w:val="21"/>
        </w:rPr>
        <w:t>摘要</w:t>
      </w:r>
    </w:p>
    <w:p>
      <w:r>
        <w:rPr>
          <w:b/>
        </w:rPr>
        <w:t>关键词</w:t>
      </w:r>
      <w:r>
        <w:t>：多模态数据融合；GIS；语义对齐；空间数据互操作；策略矩阵；模糊匹配；大语言模型</w:t>
      </w:r>
    </w:p>
    <w:p>
      <w:pPr>
        <w:pStyle w:val="Heading2"/>
      </w:pPr>
      <w:r>
        <w:t>1 引言</w:t>
      </w:r>
    </w:p>
    <w:p>
      <w:pPr>
        <w:pStyle w:val="Heading3"/>
      </w:pPr>
      <w:r>
        <w:t>1.1 研究背景</w:t>
      </w:r>
    </w:p>
    <w:p>
      <w:r>
        <w:t>随着空间信息技术的快速发展，地理空间数据的来源和形态日趋多样化。一个典型的国土空间规划项目可能同时涉及：高分辨率遥感影像（栅格数据）、土地利用现状矢量图层、社会经济统计表格、城市三维模型点云数据、以及物联网设备产生的实时流数据。这些异构数据模态在坐标参考系统、空间分辨率、属性字段命名、度量单位、时间粒度等方面存在显著差异，传统的手动融合方式不仅耗时费力，而且容易引入人为错误。</w:t>
      </w:r>
    </w:p>
    <w:p>
      <w:r>
        <w:t>与此同时，基于大语言模型（LLM）的自动化系统在空间分析领域展现出了强大的潜力。这类系统能够理解自然语言指令，自动编排分析工具链，但面对多模态数据融合任务时，仍面临两个核心挑战：</w:t>
      </w:r>
    </w:p>
    <w:p>
      <w:r>
        <w:t xml:space="preserve">1. </w:t>
      </w:r>
      <w:r>
        <w:rPr>
          <w:b/>
        </w:rPr>
        <w:t>语义鸿沟</w:t>
      </w:r>
      <w:r>
        <w:t>：不同数据源中表示相同概念的字段可能使用完全不同的命名（如面积字段在不同数据集中可能命名为 `area`、`zmj`、`TBMJ`、`面积`），LLM难以自动建立这些字段间的等价关系。</w:t>
      </w:r>
    </w:p>
    <w:p>
      <w:r>
        <w:t xml:space="preserve">2. </w:t>
      </w:r>
      <w:r>
        <w:rPr>
          <w:b/>
        </w:rPr>
        <w:t>策略选择</w:t>
      </w:r>
      <w:r>
        <w:t>：不同数据模态组合需要不同的融合策略（矢量与栅格需要分区统计，矢量与表格需要属性连接），这种策略选择逻辑难以仅通过LLM的提示词工程来可靠实现。</w:t>
      </w:r>
    </w:p>
    <w:p>
      <w:pPr>
        <w:pStyle w:val="Heading3"/>
      </w:pPr>
      <w:r>
        <w:t>1.2 研究目标</w:t>
      </w:r>
    </w:p>
    <w:p>
      <w:r>
        <w:t>本文设计并实现了一个多模态空间数据智能融合引擎（MMFE），其核心目标包括：</w:t>
      </w:r>
    </w:p>
    <w:p>
      <w:pPr>
        <w:pStyle w:val="ListBullet"/>
      </w:pPr>
      <w:r>
        <w:t>支持5种数据模态（矢量、栅格、表格、点云、实时流）的自动识别与画像</w:t>
      </w:r>
    </w:p>
    <w:p>
      <w:pPr>
        <w:pStyle w:val="ListBullet"/>
      </w:pPr>
      <w:r>
        <w:t>实现10种融合策略的类型驱动自动选择</w:t>
      </w:r>
    </w:p>
    <w:p>
      <w:pPr>
        <w:pStyle w:val="ListBullet"/>
      </w:pPr>
      <w:r>
        <w:t>解决中英文GIS字段的跨语言语义匹配问题</w:t>
      </w:r>
    </w:p>
    <w:p>
      <w:pPr>
        <w:pStyle w:val="ListBullet"/>
      </w:pPr>
      <w:r>
        <w:t>提供融合结果的自动化质量验证与血缘追踪</w:t>
      </w:r>
    </w:p>
    <w:p>
      <w:pPr>
        <w:pStyle w:val="ListBullet"/>
      </w:pPr>
      <w:r>
        <w:t>作为自包含算法模块无缝集成到现有GIS</w:t>
      </w:r>
    </w:p>
    <w:p>
      <w:pPr>
        <w:pStyle w:val="Heading2"/>
      </w:pPr>
      <w:r>
        <w:t>2 系统架构</w:t>
      </w:r>
    </w:p>
    <w:p>
      <w:pPr>
        <w:pStyle w:val="Heading3"/>
      </w:pPr>
      <w:r>
        <w:t>2.1 总体架构</w:t>
      </w:r>
    </w:p>
    <w:p>
      <w:r>
        <w:t>MMFE采用五阶段流水线架构，每个阶段有明确的输入、输出和职责边界：</w:t>
      </w:r>
    </w:p>
    <w:p>
      <w:pPr>
        <w:spacing w:before="120" w:after="120"/>
        <w:ind w:left="567"/>
      </w:pPr>
      <w:r>
        <w:rPr>
          <w:rFonts w:ascii="Consolas" w:hAnsi="Consolas"/>
          <w:color w:val="333333"/>
          <w:sz w:val="17"/>
        </w:rPr>
        <w:t>┌─────────────────────────────────────────────────────────────────────┐</w:t>
        <w:br/>
        <w:t>│ 用户自然语言输入 │</w:t>
        <w:br/>
        <w:t>│ "把遥感NDVI、地块矢量、气象站点CSV融合分析" │</w:t>
        <w:br/>
        <w:t>└───────────────────────────┬─────────────────────────────────────────┘</w:t>
        <w:br/>
        <w:t xml:space="preserve"> │</w:t>
        <w:br/>
        <w:t xml:space="preserve"> ▼</w:t>
        <w:br/>
        <w:t>┌─── Stage 1: 数据画像 (Profiling) ──────────────────────────────────┐</w:t>
        <w:br/>
        <w:t>│ profile_source() → FusionSource │</w:t>
        <w:br/>
        <w:t>│ ├─ _profile_vector() : GeoPandas read → CRS/bounds/columns │</w:t>
        <w:br/>
        <w:t>│ ├─ _profile_raster() : Rasterio read → bands/resolution/stats │</w:t>
        <w:br/>
        <w:t>│ ├─ _profile_tabular() : Pandas read → columns/dtypes/stats │</w:t>
        <w:br/>
        <w:t>│ ├─ _profile_point_cloud(): laspy read → bounds/point_count │</w:t>
        <w:br/>
        <w:t>│ └─ _detect_data_type() : 扩展名 → 数据模态枚举 │</w:t>
        <w:br/>
        <w:t>│ 输出: List[FusionSource] — 每个源的完整元数据画像 │</w:t>
        <w:br/>
        <w:t>└───────────────────────────┬─────────────────────────────────────────┘</w:t>
        <w:br/>
        <w:t xml:space="preserve"> │</w:t>
        <w:br/>
        <w:t xml:space="preserve"> ▼</w:t>
        <w:br/>
        <w:t>┌─── Stage 2: 兼容性评估 (Compatibility Assessment) ─────────────────┐</w:t>
        <w:br/>
        <w:t>│ assess_compatibility() → CompatibilityReport │</w:t>
        <w:br/>
        <w:t>│ ├─ CRS 一致性检查 : 集合比较 {s.crs for s in sources} │</w:t>
        <w:br/>
        <w:t>│ ├─ 空间范围重叠 (IoU) : BBox intersection / union │</w:t>
        <w:br/>
        <w:t>│ ├─ 字段语义匹配 : 四层渐进式 (精确→等价组→单位感知→模糊) │</w:t>
        <w:br/>
        <w:t>│ ├─ 策略推荐 : STRATEGY_MATRIX[type_pair] + 数据感知评分 │</w:t>
        <w:br/>
        <w:t>│ └─ 综合评分 : 4维加权评分 → overall_score ∈ [0,1] │</w:t>
        <w:br/>
        <w:t>│ 输出: CompatibilityReport — 评分/推荐策略/警告列表 │</w:t>
        <w:br/>
        <w:t>└───────────────────────────┬─────────────────────────────────────────┘</w:t>
        <w:br/>
        <w:t xml:space="preserve"> │</w:t>
        <w:br/>
        <w:t xml:space="preserve"> ▼</w:t>
        <w:br/>
        <w:t>┌─── Stage 3: 语义对齐 (Semantic Alignment) ─────────────────────────┐</w:t>
        <w:br/>
        <w:t>│ align_sources() → (List[aligned_data], List[log]) │</w:t>
        <w:br/>
        <w:t>│ ├─ CRS 统一 : to_crs(target_crs) 重投影 │</w:t>
        <w:br/>
        <w:t>│ ├─ 数据加载 : 按模态分类加载为内存对象 │</w:t>
        <w:br/>
        <w:t>│ ├─ 列名冲突消解 : _resolve_column_conflicts() → _right后缀│</w:t>
        <w:br/>
        <w:t>│ └─ 单位转换 : _apply_unit_conversions() 自动数值转换 │</w:t>
        <w:br/>
        <w:t>│ 输出: List[(data_type, data_object)] — 对齐后的内存数据 │</w:t>
        <w:br/>
        <w:t>└───────────────────────────┬─────────────────────────────────────────┘</w:t>
        <w:br/>
        <w:t xml:space="preserve"> │</w:t>
        <w:br/>
        <w:t xml:space="preserve"> ▼</w:t>
        <w:br/>
        <w:t>┌─── Stage 4: 融合执行 (Fusion Execution) ───────────────────────────┐</w:t>
        <w:br/>
        <w:t>│ execute_fusion() → FusionResult │</w:t>
        <w:br/>
        <w:t>│ ├─ 策略选择 : "auto" → _auto_select_strategy() + 评分 │</w:t>
        <w:br/>
        <w:t>│ ├─ 多源编排 : N&gt;2 → _orchestrate_multisource() 逐步合并│</w:t>
        <w:br/>
        <w:t>│ ├─ 策略执行 : _STRATEGY_REGISTRY[strategy](data,params)│</w:t>
        <w:br/>
        <w:t>│ ├─ 结果持久化 : GeoJSON 输出到用户沙箱目录 │</w:t>
        <w:br/>
        <w:t>│ └─ 质量验证 : validate_quality() 自动触发 │</w:t>
        <w:br/>
        <w:t>│ 输出: FusionResult — 路径/行列数/质量分/血缘/耗时 │</w:t>
        <w:br/>
        <w:t>└───────────────────────────┬─────────────────────────────────────────┘</w:t>
        <w:br/>
        <w:t xml:space="preserve"> │</w:t>
        <w:br/>
        <w:t xml:space="preserve"> ▼</w:t>
        <w:br/>
        <w:t>┌─── Stage 5: 质量验证 (Quality Validation) ─────────────────────────┐</w:t>
        <w:br/>
        <w:t>│ validate_quality() → {score, warnings, details} │</w:t>
        <w:br/>
        <w:t>│ ├─ 空结果检测 : len(data) == 0 → score = 0 │</w:t>
        <w:br/>
        <w:t>│ ├─ 空值率检查 : 逐列 null% &gt; 50% → 警告 + 扣分 │</w:t>
        <w:br/>
        <w:t>│ ├─ 几何有效性 : is_valid 检查 → 无效比例扣分 │</w:t>
        <w:br/>
        <w:t>│ ├─ 完整性比较 : output_rows / max_source_rows │</w:t>
        <w:br/>
        <w:t>│ ├─ 异常值检测 : IQR 离群值标记 │</w:t>
        <w:br/>
        <w:t>│ ├─ 微面多边形检测 : area &lt; 0.1% median │</w:t>
        <w:br/>
        <w:t>│ └─ 列完整性追踪 : 融合后列数 / 源列数之和 │</w:t>
        <w:br/>
        <w:t>│ 输出: {score: 0-1, warnings: [...], details: {...}} │</w:t>
        <w:br/>
        <w:t>└─────────────────────────────────────────────────────────────────────┘</w:t>
      </w:r>
    </w:p>
    <w:p>
      <w:pPr>
        <w:pStyle w:val="Heading3"/>
      </w:pPr>
      <w:r>
        <w:t>2.2 核心数据结构</w:t>
      </w:r>
    </w:p>
    <w:p>
      <w:r>
        <w:t>引擎定义了三个核心数据类（`@dataclass`），分别对应流水线的输入、中间状态和输出：</w:t>
      </w:r>
    </w:p>
    <w:p>
      <w:r>
        <w:rPr>
          <w:b/>
          <w:sz w:val="21"/>
        </w:rPr>
        <w:t>表1：FusionSource 数据画像结构</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
              <w:rPr>
                <w:rFonts w:ascii="Times New Roman" w:hAnsi="Times New Roman"/>
                <w:b/>
                <w:sz w:val="18"/>
              </w:rPr>
              <w:t>字段</w:t>
            </w:r>
          </w:p>
        </w:tc>
        <w:tc>
          <w:tcPr>
            <w:tcW w:type="dxa" w:w="2078"/>
          </w:tcPr>
          <w:p>
            <w:r/>
            <w:r>
              <w:rPr>
                <w:rFonts w:ascii="Times New Roman" w:hAnsi="Times New Roman"/>
                <w:b/>
                <w:sz w:val="18"/>
              </w:rPr>
              <w:t>类型</w:t>
            </w:r>
          </w:p>
        </w:tc>
        <w:tc>
          <w:tcPr>
            <w:tcW w:type="dxa" w:w="2078"/>
          </w:tcPr>
          <w:p>
            <w:r/>
            <w:r>
              <w:rPr>
                <w:rFonts w:ascii="Times New Roman" w:hAnsi="Times New Roman"/>
                <w:b/>
                <w:sz w:val="18"/>
              </w:rPr>
              <w:t>说明</w:t>
            </w:r>
          </w:p>
        </w:tc>
        <w:tc>
          <w:tcPr>
            <w:tcW w:type="dxa" w:w="2078"/>
          </w:tcPr>
          <w:p>
            <w:r/>
            <w:r>
              <w:rPr>
                <w:rFonts w:ascii="Times New Roman" w:hAnsi="Times New Roman"/>
                <w:b/>
                <w:sz w:val="18"/>
              </w:rPr>
              <w:t>适用模态</w:t>
            </w:r>
          </w:p>
        </w:tc>
      </w:tr>
      <w:tr>
        <w:tc>
          <w:tcPr>
            <w:tcW w:type="dxa" w:w="2078"/>
          </w:tcPr>
          <w:p>
            <w:r/>
            <w:r>
              <w:rPr>
                <w:rFonts w:ascii="Times New Roman" w:hAnsi="Times New Roman"/>
                <w:sz w:val="18"/>
              </w:rPr>
              <w:t>`file_path`</w:t>
            </w:r>
          </w:p>
        </w:tc>
        <w:tc>
          <w:tcPr>
            <w:tcW w:type="dxa" w:w="2078"/>
          </w:tcPr>
          <w:p>
            <w:r/>
            <w:r>
              <w:rPr>
                <w:rFonts w:ascii="Times New Roman" w:hAnsi="Times New Roman"/>
                <w:sz w:val="18"/>
              </w:rPr>
              <w:t>`str`</w:t>
            </w:r>
          </w:p>
        </w:tc>
        <w:tc>
          <w:tcPr>
            <w:tcW w:type="dxa" w:w="2078"/>
          </w:tcPr>
          <w:p>
            <w:r/>
            <w:r>
              <w:rPr>
                <w:rFonts w:ascii="Times New Roman" w:hAnsi="Times New Roman"/>
                <w:sz w:val="18"/>
              </w:rPr>
              <w:t>数据文件的绝对路径</w:t>
            </w:r>
          </w:p>
        </w:tc>
        <w:tc>
          <w:tcPr>
            <w:tcW w:type="dxa" w:w="2078"/>
          </w:tcPr>
          <w:p>
            <w:r/>
            <w:r>
              <w:rPr>
                <w:rFonts w:ascii="Times New Roman" w:hAnsi="Times New Roman"/>
                <w:sz w:val="18"/>
              </w:rPr>
              <w:t>全部</w:t>
            </w:r>
          </w:p>
        </w:tc>
      </w:tr>
      <w:tr>
        <w:tc>
          <w:tcPr>
            <w:tcW w:type="dxa" w:w="2078"/>
          </w:tcPr>
          <w:p>
            <w:r/>
            <w:r>
              <w:rPr>
                <w:rFonts w:ascii="Times New Roman" w:hAnsi="Times New Roman"/>
                <w:sz w:val="18"/>
              </w:rPr>
              <w:t>`data_type`</w:t>
            </w:r>
          </w:p>
        </w:tc>
        <w:tc>
          <w:tcPr>
            <w:tcW w:type="dxa" w:w="2078"/>
          </w:tcPr>
          <w:p>
            <w:r/>
            <w:r>
              <w:rPr>
                <w:rFonts w:ascii="Times New Roman" w:hAnsi="Times New Roman"/>
                <w:sz w:val="18"/>
              </w:rPr>
              <w:t>`str`</w:t>
            </w:r>
          </w:p>
        </w:tc>
        <w:tc>
          <w:tcPr>
            <w:tcW w:type="dxa" w:w="2078"/>
          </w:tcPr>
          <w:p>
            <w:r/>
            <w:r>
              <w:rPr>
                <w:rFonts w:ascii="Times New Roman" w:hAnsi="Times New Roman"/>
                <w:sz w:val="18"/>
              </w:rPr>
              <w:t>数据模态枚举值</w:t>
            </w:r>
          </w:p>
        </w:tc>
        <w:tc>
          <w:tcPr>
            <w:tcW w:type="dxa" w:w="2078"/>
          </w:tcPr>
          <w:p>
            <w:r/>
            <w:r>
              <w:rPr>
                <w:rFonts w:ascii="Times New Roman" w:hAnsi="Times New Roman"/>
                <w:sz w:val="18"/>
              </w:rPr>
              <w:t>全部</w:t>
            </w:r>
          </w:p>
        </w:tc>
      </w:tr>
      <w:tr>
        <w:tc>
          <w:tcPr>
            <w:tcW w:type="dxa" w:w="2078"/>
          </w:tcPr>
          <w:p>
            <w:r/>
            <w:r>
              <w:rPr>
                <w:rFonts w:ascii="Times New Roman" w:hAnsi="Times New Roman"/>
                <w:sz w:val="18"/>
              </w:rPr>
              <w:t>`row_count`</w:t>
            </w:r>
          </w:p>
        </w:tc>
        <w:tc>
          <w:tcPr>
            <w:tcW w:type="dxa" w:w="2078"/>
          </w:tcPr>
          <w:p>
            <w:r/>
            <w:r>
              <w:rPr>
                <w:rFonts w:ascii="Times New Roman" w:hAnsi="Times New Roman"/>
                <w:sz w:val="18"/>
              </w:rPr>
              <w:t>`int`</w:t>
            </w:r>
          </w:p>
        </w:tc>
        <w:tc>
          <w:tcPr>
            <w:tcW w:type="dxa" w:w="2078"/>
          </w:tcPr>
          <w:p>
            <w:r/>
            <w:r>
              <w:rPr>
                <w:rFonts w:ascii="Times New Roman" w:hAnsi="Times New Roman"/>
                <w:sz w:val="18"/>
              </w:rPr>
              <w:t>要素/行计数</w:t>
            </w:r>
          </w:p>
        </w:tc>
        <w:tc>
          <w:tcPr>
            <w:tcW w:type="dxa" w:w="2078"/>
          </w:tcPr>
          <w:p>
            <w:r/>
            <w:r>
              <w:rPr>
                <w:rFonts w:ascii="Times New Roman" w:hAnsi="Times New Roman"/>
                <w:sz w:val="18"/>
              </w:rPr>
              <w:t>矢量/表格/点云</w:t>
            </w:r>
          </w:p>
        </w:tc>
      </w:tr>
      <w:tr>
        <w:tc>
          <w:tcPr>
            <w:tcW w:type="dxa" w:w="2078"/>
          </w:tcPr>
          <w:p>
            <w:r/>
            <w:r>
              <w:rPr>
                <w:rFonts w:ascii="Times New Roman" w:hAnsi="Times New Roman"/>
                <w:sz w:val="18"/>
              </w:rPr>
              <w:t>`columns`</w:t>
            </w:r>
          </w:p>
        </w:tc>
        <w:tc>
          <w:tcPr>
            <w:tcW w:type="dxa" w:w="2078"/>
          </w:tcPr>
          <w:p>
            <w:r/>
            <w:r>
              <w:rPr>
                <w:rFonts w:ascii="Times New Roman" w:hAnsi="Times New Roman"/>
                <w:sz w:val="18"/>
              </w:rPr>
              <w:t>`list[dict]`</w:t>
            </w:r>
          </w:p>
        </w:tc>
        <w:tc>
          <w:tcPr>
            <w:tcW w:type="dxa" w:w="2078"/>
          </w:tcPr>
          <w:p>
            <w:r/>
            <w:r>
              <w:rPr>
                <w:rFonts w:ascii="Times New Roman" w:hAnsi="Times New Roman"/>
                <w:sz w:val="18"/>
              </w:rPr>
              <w:t>列信息 `[{name, dtype, null_pct}]`</w:t>
            </w:r>
          </w:p>
        </w:tc>
        <w:tc>
          <w:tcPr>
            <w:tcW w:type="dxa" w:w="2078"/>
          </w:tcPr>
          <w:p>
            <w:r/>
            <w:r>
              <w:rPr>
                <w:rFonts w:ascii="Times New Roman" w:hAnsi="Times New Roman"/>
                <w:sz w:val="18"/>
              </w:rPr>
              <w:t>全部</w:t>
            </w:r>
          </w:p>
        </w:tc>
      </w:tr>
      <w:tr>
        <w:tc>
          <w:tcPr>
            <w:tcW w:type="dxa" w:w="2078"/>
          </w:tcPr>
          <w:p>
            <w:r/>
            <w:r>
              <w:rPr>
                <w:rFonts w:ascii="Times New Roman" w:hAnsi="Times New Roman"/>
                <w:sz w:val="18"/>
              </w:rPr>
              <w:t>`stats`</w:t>
            </w:r>
          </w:p>
        </w:tc>
        <w:tc>
          <w:tcPr>
            <w:tcW w:type="dxa" w:w="2078"/>
          </w:tcPr>
          <w:p>
            <w:r/>
            <w:r>
              <w:rPr>
                <w:rFonts w:ascii="Times New Roman" w:hAnsi="Times New Roman"/>
                <w:sz w:val="18"/>
              </w:rPr>
              <w:t>`dict`</w:t>
            </w:r>
          </w:p>
        </w:tc>
        <w:tc>
          <w:tcPr>
            <w:tcW w:type="dxa" w:w="2078"/>
          </w:tcPr>
          <w:p>
            <w:r/>
            <w:r>
              <w:rPr>
                <w:rFonts w:ascii="Times New Roman" w:hAnsi="Times New Roman"/>
                <w:sz w:val="18"/>
              </w:rPr>
              <w:t>列级统计 `{col: {min, max, mean}}` 或 `{unique}`</w:t>
            </w:r>
          </w:p>
        </w:tc>
        <w:tc>
          <w:tcPr>
            <w:tcW w:type="dxa" w:w="2078"/>
          </w:tcPr>
          <w:p>
            <w:r/>
            <w:r>
              <w:rPr>
                <w:rFonts w:ascii="Times New Roman" w:hAnsi="Times New Roman"/>
                <w:sz w:val="18"/>
              </w:rPr>
              <w:t>全部</w:t>
            </w:r>
          </w:p>
        </w:tc>
      </w:tr>
      <w:tr>
        <w:tc>
          <w:tcPr>
            <w:tcW w:type="dxa" w:w="2078"/>
          </w:tcPr>
          <w:p>
            <w:r/>
            <w:r>
              <w:rPr>
                <w:rFonts w:ascii="Times New Roman" w:hAnsi="Times New Roman"/>
                <w:sz w:val="18"/>
              </w:rPr>
              <w:t>`band_count`</w:t>
            </w:r>
          </w:p>
        </w:tc>
        <w:tc>
          <w:tcPr>
            <w:tcW w:type="dxa" w:w="2078"/>
          </w:tcPr>
          <w:p>
            <w:r/>
            <w:r>
              <w:rPr>
                <w:rFonts w:ascii="Times New Roman" w:hAnsi="Times New Roman"/>
                <w:sz w:val="18"/>
              </w:rPr>
              <w:t>`int`</w:t>
            </w:r>
          </w:p>
        </w:tc>
        <w:tc>
          <w:tcPr>
            <w:tcW w:type="dxa" w:w="2078"/>
          </w:tcPr>
          <w:p>
            <w:r/>
            <w:r>
              <w:rPr>
                <w:rFonts w:ascii="Times New Roman" w:hAnsi="Times New Roman"/>
                <w:sz w:val="18"/>
              </w:rPr>
              <w:t>波段数</w:t>
            </w:r>
          </w:p>
        </w:tc>
        <w:tc>
          <w:tcPr>
            <w:tcW w:type="dxa" w:w="2078"/>
          </w:tcPr>
          <w:p>
            <w:r/>
            <w:r>
              <w:rPr>
                <w:rFonts w:ascii="Times New Roman" w:hAnsi="Times New Roman"/>
                <w:sz w:val="18"/>
              </w:rPr>
              <w:t>栅格</w:t>
            </w:r>
          </w:p>
        </w:tc>
      </w:tr>
    </w:tbl>
    <w:p>
      <w:r>
        <w:rPr>
          <w:b/>
          <w:sz w:val="21"/>
        </w:rPr>
        <w:t>表2：CompatibilityReport 兼容性报告结构</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
              <w:rPr>
                <w:rFonts w:ascii="Times New Roman" w:hAnsi="Times New Roman"/>
                <w:b/>
                <w:sz w:val="18"/>
              </w:rPr>
              <w:t>字段</w:t>
            </w:r>
          </w:p>
        </w:tc>
        <w:tc>
          <w:tcPr>
            <w:tcW w:type="dxa" w:w="2771"/>
          </w:tcPr>
          <w:p>
            <w:r/>
            <w:r>
              <w:rPr>
                <w:rFonts w:ascii="Times New Roman" w:hAnsi="Times New Roman"/>
                <w:b/>
                <w:sz w:val="18"/>
              </w:rPr>
              <w:t>类型</w:t>
            </w:r>
          </w:p>
        </w:tc>
        <w:tc>
          <w:tcPr>
            <w:tcW w:type="dxa" w:w="2771"/>
          </w:tcPr>
          <w:p>
            <w:r/>
            <w:r>
              <w:rPr>
                <w:rFonts w:ascii="Times New Roman" w:hAnsi="Times New Roman"/>
                <w:b/>
                <w:sz w:val="18"/>
              </w:rPr>
              <w:t>说明</w:t>
            </w:r>
          </w:p>
        </w:tc>
      </w:tr>
      <w:tr>
        <w:tc>
          <w:tcPr>
            <w:tcW w:type="dxa" w:w="2771"/>
          </w:tcPr>
          <w:p>
            <w:r/>
            <w:r>
              <w:rPr>
                <w:rFonts w:ascii="Times New Roman" w:hAnsi="Times New Roman"/>
                <w:sz w:val="18"/>
              </w:rPr>
              <w:t>`crs_compatible`</w:t>
            </w:r>
          </w:p>
        </w:tc>
        <w:tc>
          <w:tcPr>
            <w:tcW w:type="dxa" w:w="2771"/>
          </w:tcPr>
          <w:p>
            <w:r/>
            <w:r>
              <w:rPr>
                <w:rFonts w:ascii="Times New Roman" w:hAnsi="Times New Roman"/>
                <w:sz w:val="18"/>
              </w:rPr>
              <w:t>`bool`</w:t>
            </w:r>
          </w:p>
        </w:tc>
        <w:tc>
          <w:tcPr>
            <w:tcW w:type="dxa" w:w="2771"/>
          </w:tcPr>
          <w:p>
            <w:r/>
            <w:r>
              <w:rPr>
                <w:rFonts w:ascii="Times New Roman" w:hAnsi="Times New Roman"/>
                <w:sz w:val="18"/>
              </w:rPr>
              <w:t>所有数据源CRS是否一致</w:t>
            </w:r>
          </w:p>
        </w:tc>
      </w:tr>
      <w:tr>
        <w:tc>
          <w:tcPr>
            <w:tcW w:type="dxa" w:w="2771"/>
          </w:tcPr>
          <w:p>
            <w:r/>
            <w:r>
              <w:rPr>
                <w:rFonts w:ascii="Times New Roman" w:hAnsi="Times New Roman"/>
                <w:sz w:val="18"/>
              </w:rPr>
              <w:t>`spatial_overlap_iou`</w:t>
            </w:r>
          </w:p>
        </w:tc>
        <w:tc>
          <w:tcPr>
            <w:tcW w:type="dxa" w:w="2771"/>
          </w:tcPr>
          <w:p>
            <w:r/>
            <w:r>
              <w:rPr>
                <w:rFonts w:ascii="Times New Roman" w:hAnsi="Times New Roman"/>
                <w:sz w:val="18"/>
              </w:rPr>
              <w:t>`float`</w:t>
            </w:r>
          </w:p>
        </w:tc>
        <w:tc>
          <w:tcPr>
            <w:tcW w:type="dxa" w:w="2771"/>
          </w:tcPr>
          <w:p>
            <w:r/>
            <w:r>
              <w:rPr>
                <w:rFonts w:ascii="Times New Roman" w:hAnsi="Times New Roman"/>
                <w:sz w:val="18"/>
              </w:rPr>
              <w:t>边界框交并比 ∈ [0,1]</w:t>
            </w:r>
          </w:p>
        </w:tc>
      </w:tr>
      <w:tr>
        <w:tc>
          <w:tcPr>
            <w:tcW w:type="dxa" w:w="2771"/>
          </w:tcPr>
          <w:p>
            <w:r/>
            <w:r>
              <w:rPr>
                <w:rFonts w:ascii="Times New Roman" w:hAnsi="Times New Roman"/>
                <w:sz w:val="18"/>
              </w:rPr>
              <w:t>`field_matches`</w:t>
            </w:r>
          </w:p>
        </w:tc>
        <w:tc>
          <w:tcPr>
            <w:tcW w:type="dxa" w:w="2771"/>
          </w:tcPr>
          <w:p>
            <w:r/>
            <w:r>
              <w:rPr>
                <w:rFonts w:ascii="Times New Roman" w:hAnsi="Times New Roman"/>
                <w:sz w:val="18"/>
              </w:rPr>
              <w:t>`list[dict]`</w:t>
            </w:r>
          </w:p>
        </w:tc>
        <w:tc>
          <w:tcPr>
            <w:tcW w:type="dxa" w:w="2771"/>
          </w:tcPr>
          <w:p>
            <w:r/>
            <w:r>
              <w:rPr>
                <w:rFonts w:ascii="Times New Roman" w:hAnsi="Times New Roman"/>
                <w:sz w:val="18"/>
              </w:rPr>
              <w:t>语义匹配的字段对 `[{left, right, confidence}]`</w:t>
            </w:r>
          </w:p>
        </w:tc>
      </w:tr>
      <w:tr>
        <w:tc>
          <w:tcPr>
            <w:tcW w:type="dxa" w:w="2771"/>
          </w:tcPr>
          <w:p>
            <w:r/>
            <w:r>
              <w:rPr>
                <w:rFonts w:ascii="Times New Roman" w:hAnsi="Times New Roman"/>
                <w:sz w:val="18"/>
              </w:rPr>
              <w:t>`overall_score`</w:t>
            </w:r>
          </w:p>
        </w:tc>
        <w:tc>
          <w:tcPr>
            <w:tcW w:type="dxa" w:w="2771"/>
          </w:tcPr>
          <w:p>
            <w:r/>
            <w:r>
              <w:rPr>
                <w:rFonts w:ascii="Times New Roman" w:hAnsi="Times New Roman"/>
                <w:sz w:val="18"/>
              </w:rPr>
              <w:t>`float`</w:t>
            </w:r>
          </w:p>
        </w:tc>
        <w:tc>
          <w:tcPr>
            <w:tcW w:type="dxa" w:w="2771"/>
          </w:tcPr>
          <w:p>
            <w:r/>
            <w:r>
              <w:rPr>
                <w:rFonts w:ascii="Times New Roman" w:hAnsi="Times New Roman"/>
                <w:sz w:val="18"/>
              </w:rPr>
              <w:t>综合兼容性评分 ∈ [0,1]</w:t>
            </w:r>
          </w:p>
        </w:tc>
      </w:tr>
      <w:tr>
        <w:tc>
          <w:tcPr>
            <w:tcW w:type="dxa" w:w="2771"/>
          </w:tcPr>
          <w:p>
            <w:r/>
            <w:r>
              <w:rPr>
                <w:rFonts w:ascii="Times New Roman" w:hAnsi="Times New Roman"/>
                <w:sz w:val="18"/>
              </w:rPr>
              <w:t>`recommended_strategies`</w:t>
            </w:r>
          </w:p>
        </w:tc>
        <w:tc>
          <w:tcPr>
            <w:tcW w:type="dxa" w:w="2771"/>
          </w:tcPr>
          <w:p>
            <w:r/>
            <w:r>
              <w:rPr>
                <w:rFonts w:ascii="Times New Roman" w:hAnsi="Times New Roman"/>
                <w:sz w:val="18"/>
              </w:rPr>
              <w:t>`list[str]`</w:t>
            </w:r>
          </w:p>
        </w:tc>
        <w:tc>
          <w:tcPr>
            <w:tcW w:type="dxa" w:w="2771"/>
          </w:tcPr>
          <w:p>
            <w:r/>
            <w:r>
              <w:rPr>
                <w:rFonts w:ascii="Times New Roman" w:hAnsi="Times New Roman"/>
                <w:sz w:val="18"/>
              </w:rPr>
              <w:t>推荐的融合策略列表</w:t>
            </w:r>
          </w:p>
        </w:tc>
      </w:tr>
      <w:tr>
        <w:tc>
          <w:tcPr>
            <w:tcW w:type="dxa" w:w="2771"/>
          </w:tcPr>
          <w:p>
            <w:r/>
            <w:r>
              <w:rPr>
                <w:rFonts w:ascii="Times New Roman" w:hAnsi="Times New Roman"/>
                <w:sz w:val="18"/>
              </w:rPr>
              <w:t>`warnings`</w:t>
            </w:r>
          </w:p>
        </w:tc>
        <w:tc>
          <w:tcPr>
            <w:tcW w:type="dxa" w:w="2771"/>
          </w:tcPr>
          <w:p>
            <w:r/>
            <w:r>
              <w:rPr>
                <w:rFonts w:ascii="Times New Roman" w:hAnsi="Times New Roman"/>
                <w:sz w:val="18"/>
              </w:rPr>
              <w:t>`list[str]`</w:t>
            </w:r>
          </w:p>
        </w:tc>
        <w:tc>
          <w:tcPr>
            <w:tcW w:type="dxa" w:w="2771"/>
          </w:tcPr>
          <w:p>
            <w:r/>
            <w:r>
              <w:rPr>
                <w:rFonts w:ascii="Times New Roman" w:hAnsi="Times New Roman"/>
                <w:sz w:val="18"/>
              </w:rPr>
              <w:t>兼容性问题警告信息</w:t>
            </w:r>
          </w:p>
        </w:tc>
      </w:tr>
    </w:tbl>
    <w:p>
      <w:r>
        <w:rPr>
          <w:b/>
          <w:sz w:val="21"/>
        </w:rPr>
        <w:t>表3：FusionResult 融合结果结构</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
              <w:rPr>
                <w:rFonts w:ascii="Times New Roman" w:hAnsi="Times New Roman"/>
                <w:b/>
                <w:sz w:val="18"/>
              </w:rPr>
              <w:t>字段</w:t>
            </w:r>
          </w:p>
        </w:tc>
        <w:tc>
          <w:tcPr>
            <w:tcW w:type="dxa" w:w="2771"/>
          </w:tcPr>
          <w:p>
            <w:r/>
            <w:r>
              <w:rPr>
                <w:rFonts w:ascii="Times New Roman" w:hAnsi="Times New Roman"/>
                <w:b/>
                <w:sz w:val="18"/>
              </w:rPr>
              <w:t>类型</w:t>
            </w:r>
          </w:p>
        </w:tc>
        <w:tc>
          <w:tcPr>
            <w:tcW w:type="dxa" w:w="2771"/>
          </w:tcPr>
          <w:p>
            <w:r/>
            <w:r>
              <w:rPr>
                <w:rFonts w:ascii="Times New Roman" w:hAnsi="Times New Roman"/>
                <w:b/>
                <w:sz w:val="18"/>
              </w:rPr>
              <w:t>说明</w:t>
            </w:r>
          </w:p>
        </w:tc>
      </w:tr>
      <w:tr>
        <w:tc>
          <w:tcPr>
            <w:tcW w:type="dxa" w:w="2771"/>
          </w:tcPr>
          <w:p>
            <w:r/>
            <w:r>
              <w:rPr>
                <w:rFonts w:ascii="Times New Roman" w:hAnsi="Times New Roman"/>
                <w:sz w:val="18"/>
              </w:rPr>
              <w:t>`output_path`</w:t>
            </w:r>
          </w:p>
        </w:tc>
        <w:tc>
          <w:tcPr>
            <w:tcW w:type="dxa" w:w="2771"/>
          </w:tcPr>
          <w:p>
            <w:r/>
            <w:r>
              <w:rPr>
                <w:rFonts w:ascii="Times New Roman" w:hAnsi="Times New Roman"/>
                <w:sz w:val="18"/>
              </w:rPr>
              <w:t>`str`</w:t>
            </w:r>
          </w:p>
        </w:tc>
        <w:tc>
          <w:tcPr>
            <w:tcW w:type="dxa" w:w="2771"/>
          </w:tcPr>
          <w:p>
            <w:r/>
            <w:r>
              <w:rPr>
                <w:rFonts w:ascii="Times New Roman" w:hAnsi="Times New Roman"/>
                <w:sz w:val="18"/>
              </w:rPr>
              <w:t>输出文件路径（GeoJSON）</w:t>
            </w:r>
          </w:p>
        </w:tc>
      </w:tr>
      <w:tr>
        <w:tc>
          <w:tcPr>
            <w:tcW w:type="dxa" w:w="2771"/>
          </w:tcPr>
          <w:p>
            <w:r/>
            <w:r>
              <w:rPr>
                <w:rFonts w:ascii="Times New Roman" w:hAnsi="Times New Roman"/>
                <w:sz w:val="18"/>
              </w:rPr>
              <w:t>`strategy_used`</w:t>
            </w:r>
          </w:p>
        </w:tc>
        <w:tc>
          <w:tcPr>
            <w:tcW w:type="dxa" w:w="2771"/>
          </w:tcPr>
          <w:p>
            <w:r/>
            <w:r>
              <w:rPr>
                <w:rFonts w:ascii="Times New Roman" w:hAnsi="Times New Roman"/>
                <w:sz w:val="18"/>
              </w:rPr>
              <w:t>`str`</w:t>
            </w:r>
          </w:p>
        </w:tc>
        <w:tc>
          <w:tcPr>
            <w:tcW w:type="dxa" w:w="2771"/>
          </w:tcPr>
          <w:p>
            <w:r/>
            <w:r>
              <w:rPr>
                <w:rFonts w:ascii="Times New Roman" w:hAnsi="Times New Roman"/>
                <w:sz w:val="18"/>
              </w:rPr>
              <w:t>实际使用的融合策略名称</w:t>
            </w:r>
          </w:p>
        </w:tc>
      </w:tr>
      <w:tr>
        <w:tc>
          <w:tcPr>
            <w:tcW w:type="dxa" w:w="2771"/>
          </w:tcPr>
          <w:p>
            <w:r/>
            <w:r>
              <w:rPr>
                <w:rFonts w:ascii="Times New Roman" w:hAnsi="Times New Roman"/>
                <w:sz w:val="18"/>
              </w:rPr>
              <w:t>`row_count`</w:t>
            </w:r>
          </w:p>
        </w:tc>
        <w:tc>
          <w:tcPr>
            <w:tcW w:type="dxa" w:w="2771"/>
          </w:tcPr>
          <w:p>
            <w:r/>
            <w:r>
              <w:rPr>
                <w:rFonts w:ascii="Times New Roman" w:hAnsi="Times New Roman"/>
                <w:sz w:val="18"/>
              </w:rPr>
              <w:t>`int`</w:t>
            </w:r>
          </w:p>
        </w:tc>
        <w:tc>
          <w:tcPr>
            <w:tcW w:type="dxa" w:w="2771"/>
          </w:tcPr>
          <w:p>
            <w:r/>
            <w:r>
              <w:rPr>
                <w:rFonts w:ascii="Times New Roman" w:hAnsi="Times New Roman"/>
                <w:sz w:val="18"/>
              </w:rPr>
              <w:t>输出要素/行数</w:t>
            </w:r>
          </w:p>
        </w:tc>
      </w:tr>
      <w:tr>
        <w:tc>
          <w:tcPr>
            <w:tcW w:type="dxa" w:w="2771"/>
          </w:tcPr>
          <w:p>
            <w:r/>
            <w:r>
              <w:rPr>
                <w:rFonts w:ascii="Times New Roman" w:hAnsi="Times New Roman"/>
                <w:sz w:val="18"/>
              </w:rPr>
              <w:t>`column_count`</w:t>
            </w:r>
          </w:p>
        </w:tc>
        <w:tc>
          <w:tcPr>
            <w:tcW w:type="dxa" w:w="2771"/>
          </w:tcPr>
          <w:p>
            <w:r/>
            <w:r>
              <w:rPr>
                <w:rFonts w:ascii="Times New Roman" w:hAnsi="Times New Roman"/>
                <w:sz w:val="18"/>
              </w:rPr>
              <w:t>`int`</w:t>
            </w:r>
          </w:p>
        </w:tc>
        <w:tc>
          <w:tcPr>
            <w:tcW w:type="dxa" w:w="2771"/>
          </w:tcPr>
          <w:p>
            <w:r/>
            <w:r>
              <w:rPr>
                <w:rFonts w:ascii="Times New Roman" w:hAnsi="Times New Roman"/>
                <w:sz w:val="18"/>
              </w:rPr>
              <w:t>输出属性列数（不含 geometry）</w:t>
            </w:r>
          </w:p>
        </w:tc>
      </w:tr>
      <w:tr>
        <w:tc>
          <w:tcPr>
            <w:tcW w:type="dxa" w:w="2771"/>
          </w:tcPr>
          <w:p>
            <w:r/>
            <w:r>
              <w:rPr>
                <w:rFonts w:ascii="Times New Roman" w:hAnsi="Times New Roman"/>
                <w:sz w:val="18"/>
              </w:rPr>
              <w:t>`quality_score`</w:t>
            </w:r>
          </w:p>
        </w:tc>
        <w:tc>
          <w:tcPr>
            <w:tcW w:type="dxa" w:w="2771"/>
          </w:tcPr>
          <w:p>
            <w:r/>
            <w:r>
              <w:rPr>
                <w:rFonts w:ascii="Times New Roman" w:hAnsi="Times New Roman"/>
                <w:sz w:val="18"/>
              </w:rPr>
              <w:t>`float`</w:t>
            </w:r>
          </w:p>
        </w:tc>
        <w:tc>
          <w:tcPr>
            <w:tcW w:type="dxa" w:w="2771"/>
          </w:tcPr>
          <w:p>
            <w:r/>
            <w:r>
              <w:rPr>
                <w:rFonts w:ascii="Times New Roman" w:hAnsi="Times New Roman"/>
                <w:sz w:val="18"/>
              </w:rPr>
              <w:t>质量验证评分 ∈ [0,1]</w:t>
            </w:r>
          </w:p>
        </w:tc>
      </w:tr>
      <w:tr>
        <w:tc>
          <w:tcPr>
            <w:tcW w:type="dxa" w:w="2771"/>
          </w:tcPr>
          <w:p>
            <w:r/>
            <w:r>
              <w:rPr>
                <w:rFonts w:ascii="Times New Roman" w:hAnsi="Times New Roman"/>
                <w:sz w:val="18"/>
              </w:rPr>
              <w:t>`quality_warnings`</w:t>
            </w:r>
          </w:p>
        </w:tc>
        <w:tc>
          <w:tcPr>
            <w:tcW w:type="dxa" w:w="2771"/>
          </w:tcPr>
          <w:p>
            <w:r/>
            <w:r>
              <w:rPr>
                <w:rFonts w:ascii="Times New Roman" w:hAnsi="Times New Roman"/>
                <w:sz w:val="18"/>
              </w:rPr>
              <w:t>`list[str]`</w:t>
            </w:r>
          </w:p>
        </w:tc>
        <w:tc>
          <w:tcPr>
            <w:tcW w:type="dxa" w:w="2771"/>
          </w:tcPr>
          <w:p>
            <w:r/>
            <w:r>
              <w:rPr>
                <w:rFonts w:ascii="Times New Roman" w:hAnsi="Times New Roman"/>
                <w:sz w:val="18"/>
              </w:rPr>
              <w:t>质量问题列表</w:t>
            </w:r>
          </w:p>
        </w:tc>
      </w:tr>
      <w:tr>
        <w:tc>
          <w:tcPr>
            <w:tcW w:type="dxa" w:w="2771"/>
          </w:tcPr>
          <w:p>
            <w:r/>
            <w:r>
              <w:rPr>
                <w:rFonts w:ascii="Times New Roman" w:hAnsi="Times New Roman"/>
                <w:sz w:val="18"/>
              </w:rPr>
              <w:t>`alignment_log`</w:t>
            </w:r>
          </w:p>
        </w:tc>
        <w:tc>
          <w:tcPr>
            <w:tcW w:type="dxa" w:w="2771"/>
          </w:tcPr>
          <w:p>
            <w:r/>
            <w:r>
              <w:rPr>
                <w:rFonts w:ascii="Times New Roman" w:hAnsi="Times New Roman"/>
                <w:sz w:val="18"/>
              </w:rPr>
              <w:t>`list[str]`</w:t>
            </w:r>
          </w:p>
        </w:tc>
        <w:tc>
          <w:tcPr>
            <w:tcW w:type="dxa" w:w="2771"/>
          </w:tcPr>
          <w:p>
            <w:r/>
            <w:r>
              <w:rPr>
                <w:rFonts w:ascii="Times New Roman" w:hAnsi="Times New Roman"/>
                <w:sz w:val="18"/>
              </w:rPr>
              <w:t>对齐操作日志记录</w:t>
            </w:r>
          </w:p>
        </w:tc>
      </w:tr>
      <w:tr>
        <w:tc>
          <w:tcPr>
            <w:tcW w:type="dxa" w:w="2771"/>
          </w:tcPr>
          <w:p>
            <w:r/>
            <w:r>
              <w:rPr>
                <w:rFonts w:ascii="Times New Roman" w:hAnsi="Times New Roman"/>
                <w:sz w:val="18"/>
              </w:rPr>
              <w:t>`duration_s`</w:t>
            </w:r>
          </w:p>
        </w:tc>
        <w:tc>
          <w:tcPr>
            <w:tcW w:type="dxa" w:w="2771"/>
          </w:tcPr>
          <w:p>
            <w:r/>
            <w:r>
              <w:rPr>
                <w:rFonts w:ascii="Times New Roman" w:hAnsi="Times New Roman"/>
                <w:sz w:val="18"/>
              </w:rPr>
              <w:t>`float`</w:t>
            </w:r>
          </w:p>
        </w:tc>
        <w:tc>
          <w:tcPr>
            <w:tcW w:type="dxa" w:w="2771"/>
          </w:tcPr>
          <w:p>
            <w:r/>
            <w:r>
              <w:rPr>
                <w:rFonts w:ascii="Times New Roman" w:hAnsi="Times New Roman"/>
                <w:sz w:val="18"/>
              </w:rPr>
              <w:t>融合执行耗时（秒）</w:t>
            </w:r>
          </w:p>
        </w:tc>
      </w:tr>
      <w:tr>
        <w:tc>
          <w:tcPr>
            <w:tcW w:type="dxa" w:w="2771"/>
          </w:tcPr>
          <w:p>
            <w:r/>
            <w:r>
              <w:rPr>
                <w:rFonts w:ascii="Times New Roman" w:hAnsi="Times New Roman"/>
                <w:sz w:val="18"/>
              </w:rPr>
              <w:t>`provenance`</w:t>
            </w:r>
          </w:p>
        </w:tc>
        <w:tc>
          <w:tcPr>
            <w:tcW w:type="dxa" w:w="2771"/>
          </w:tcPr>
          <w:p>
            <w:r/>
            <w:r>
              <w:rPr>
                <w:rFonts w:ascii="Times New Roman" w:hAnsi="Times New Roman"/>
                <w:sz w:val="18"/>
              </w:rPr>
              <w:t>`dict`</w:t>
            </w:r>
          </w:p>
        </w:tc>
        <w:tc>
          <w:tcPr>
            <w:tcW w:type="dxa" w:w="2771"/>
          </w:tcPr>
          <w:p>
            <w:r/>
            <w:r>
              <w:rPr>
                <w:rFonts w:ascii="Times New Roman" w:hAnsi="Times New Roman"/>
                <w:sz w:val="18"/>
              </w:rPr>
              <w:t>血缘信息 `{sources, strategy, params}`</w:t>
            </w:r>
          </w:p>
        </w:tc>
      </w:tr>
    </w:tbl>
    <w:p>
      <w:pPr>
        <w:pStyle w:val="Heading2"/>
      </w:pPr>
      <w:r>
        <w:t>3 核心算法</w:t>
      </w:r>
    </w:p>
    <w:p>
      <w:pPr>
        <w:pStyle w:val="Heading3"/>
      </w:pPr>
      <w:r>
        <w:t>3.1 策略矩阵与数据感知策略选择</w:t>
      </w:r>
    </w:p>
    <w:p>
      <w:r>
        <w:t>策略矩阵是MMFE的核心调度机制，它将数据类型对映射到可用的融合策略列表：</w:t>
      </w:r>
    </w:p>
    <w:p>
      <w:r>
        <w:rPr>
          <w:b/>
          <w:sz w:val="21"/>
        </w:rPr>
        <w:t>表4：策略矩阵定义</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
              <w:rPr>
                <w:rFonts w:ascii="Times New Roman" w:hAnsi="Times New Roman"/>
                <w:b/>
                <w:sz w:val="18"/>
              </w:rPr>
              <w:t>数据类型对</w:t>
            </w:r>
          </w:p>
        </w:tc>
        <w:tc>
          <w:tcPr>
            <w:tcW w:type="dxa" w:w="2771"/>
          </w:tcPr>
          <w:p>
            <w:r/>
            <w:r>
              <w:rPr>
                <w:rFonts w:ascii="Times New Roman" w:hAnsi="Times New Roman"/>
                <w:b/>
                <w:sz w:val="18"/>
              </w:rPr>
              <w:t>可用策略</w:t>
            </w:r>
          </w:p>
        </w:tc>
        <w:tc>
          <w:tcPr>
            <w:tcW w:type="dxa" w:w="2771"/>
          </w:tcPr>
          <w:p>
            <w:r/>
            <w:r>
              <w:rPr>
                <w:rFonts w:ascii="Times New Roman" w:hAnsi="Times New Roman"/>
                <w:b/>
                <w:sz w:val="18"/>
              </w:rPr>
              <w:t>首选策略</w:t>
            </w:r>
          </w:p>
        </w:tc>
      </w:tr>
      <w:tr>
        <w:tc>
          <w:tcPr>
            <w:tcW w:type="dxa" w:w="2771"/>
          </w:tcPr>
          <w:p>
            <w:r/>
            <w:r>
              <w:rPr>
                <w:rFonts w:ascii="Times New Roman" w:hAnsi="Times New Roman"/>
                <w:sz w:val="18"/>
              </w:rPr>
              <w:t>(vector, vector)</w:t>
            </w:r>
          </w:p>
        </w:tc>
        <w:tc>
          <w:tcPr>
            <w:tcW w:type="dxa" w:w="2771"/>
          </w:tcPr>
          <w:p>
            <w:r/>
            <w:r>
              <w:rPr>
                <w:rFonts w:ascii="Times New Roman" w:hAnsi="Times New Roman"/>
                <w:sz w:val="18"/>
              </w:rPr>
              <w:t>spatial_join, overlay, nearest_join</w:t>
            </w:r>
          </w:p>
        </w:tc>
        <w:tc>
          <w:tcPr>
            <w:tcW w:type="dxa" w:w="2771"/>
          </w:tcPr>
          <w:p>
            <w:r/>
            <w:r>
              <w:rPr>
                <w:rFonts w:ascii="Times New Roman" w:hAnsi="Times New Roman"/>
                <w:sz w:val="18"/>
              </w:rPr>
              <w:t>数据感知评分</w:t>
            </w:r>
          </w:p>
        </w:tc>
      </w:tr>
      <w:tr>
        <w:tc>
          <w:tcPr>
            <w:tcW w:type="dxa" w:w="2771"/>
          </w:tcPr>
          <w:p>
            <w:r/>
            <w:r>
              <w:rPr>
                <w:rFonts w:ascii="Times New Roman" w:hAnsi="Times New Roman"/>
                <w:sz w:val="18"/>
              </w:rPr>
              <w:t>(vector, raster)</w:t>
            </w:r>
          </w:p>
        </w:tc>
        <w:tc>
          <w:tcPr>
            <w:tcW w:type="dxa" w:w="2771"/>
          </w:tcPr>
          <w:p>
            <w:r/>
            <w:r>
              <w:rPr>
                <w:rFonts w:ascii="Times New Roman" w:hAnsi="Times New Roman"/>
                <w:sz w:val="18"/>
              </w:rPr>
              <w:t>zonal_statistics, point_sampling</w:t>
            </w:r>
          </w:p>
        </w:tc>
        <w:tc>
          <w:tcPr>
            <w:tcW w:type="dxa" w:w="2771"/>
          </w:tcPr>
          <w:p>
            <w:r/>
            <w:r>
              <w:rPr>
                <w:rFonts w:ascii="Times New Roman" w:hAnsi="Times New Roman"/>
                <w:sz w:val="18"/>
              </w:rPr>
              <w:t>数据感知评分</w:t>
            </w:r>
          </w:p>
        </w:tc>
      </w:tr>
      <w:tr>
        <w:tc>
          <w:tcPr>
            <w:tcW w:type="dxa" w:w="2771"/>
          </w:tcPr>
          <w:p>
            <w:r/>
            <w:r>
              <w:rPr>
                <w:rFonts w:ascii="Times New Roman" w:hAnsi="Times New Roman"/>
                <w:sz w:val="18"/>
              </w:rPr>
              <w:t>(raster, vector)</w:t>
            </w:r>
          </w:p>
        </w:tc>
        <w:tc>
          <w:tcPr>
            <w:tcW w:type="dxa" w:w="2771"/>
          </w:tcPr>
          <w:p>
            <w:r/>
            <w:r>
              <w:rPr>
                <w:rFonts w:ascii="Times New Roman" w:hAnsi="Times New Roman"/>
                <w:sz w:val="18"/>
              </w:rPr>
              <w:t>zonal_statistics, point_sampling</w:t>
            </w:r>
          </w:p>
        </w:tc>
        <w:tc>
          <w:tcPr>
            <w:tcW w:type="dxa" w:w="2771"/>
          </w:tcPr>
          <w:p>
            <w:r/>
            <w:r>
              <w:rPr>
                <w:rFonts w:ascii="Times New Roman" w:hAnsi="Times New Roman"/>
                <w:sz w:val="18"/>
              </w:rPr>
              <w:t>数据感知评分</w:t>
            </w:r>
          </w:p>
        </w:tc>
      </w:tr>
      <w:tr>
        <w:tc>
          <w:tcPr>
            <w:tcW w:type="dxa" w:w="2771"/>
          </w:tcPr>
          <w:p>
            <w:r/>
            <w:r>
              <w:rPr>
                <w:rFonts w:ascii="Times New Roman" w:hAnsi="Times New Roman"/>
                <w:sz w:val="18"/>
              </w:rPr>
              <w:t>(raster, raster)</w:t>
            </w:r>
          </w:p>
        </w:tc>
        <w:tc>
          <w:tcPr>
            <w:tcW w:type="dxa" w:w="2771"/>
          </w:tcPr>
          <w:p>
            <w:r/>
            <w:r>
              <w:rPr>
                <w:rFonts w:ascii="Times New Roman" w:hAnsi="Times New Roman"/>
                <w:sz w:val="18"/>
              </w:rPr>
              <w:t>band_stack</w:t>
            </w:r>
          </w:p>
        </w:tc>
        <w:tc>
          <w:tcPr>
            <w:tcW w:type="dxa" w:w="2771"/>
          </w:tcPr>
          <w:p>
            <w:r/>
            <w:r>
              <w:rPr>
                <w:rFonts w:ascii="Times New Roman" w:hAnsi="Times New Roman"/>
                <w:sz w:val="18"/>
              </w:rPr>
              <w:t>band_stack</w:t>
            </w:r>
          </w:p>
        </w:tc>
      </w:tr>
      <w:tr>
        <w:tc>
          <w:tcPr>
            <w:tcW w:type="dxa" w:w="2771"/>
          </w:tcPr>
          <w:p>
            <w:r/>
            <w:r>
              <w:rPr>
                <w:rFonts w:ascii="Times New Roman" w:hAnsi="Times New Roman"/>
                <w:sz w:val="18"/>
              </w:rPr>
              <w:t>(vector, tabular)</w:t>
            </w:r>
          </w:p>
        </w:tc>
        <w:tc>
          <w:tcPr>
            <w:tcW w:type="dxa" w:w="2771"/>
          </w:tcPr>
          <w:p>
            <w:r/>
            <w:r>
              <w:rPr>
                <w:rFonts w:ascii="Times New Roman" w:hAnsi="Times New Roman"/>
                <w:sz w:val="18"/>
              </w:rPr>
              <w:t>attribute_join</w:t>
            </w:r>
          </w:p>
        </w:tc>
        <w:tc>
          <w:tcPr>
            <w:tcW w:type="dxa" w:w="2771"/>
          </w:tcPr>
          <w:p>
            <w:r/>
            <w:r>
              <w:rPr>
                <w:rFonts w:ascii="Times New Roman" w:hAnsi="Times New Roman"/>
                <w:sz w:val="18"/>
              </w:rPr>
              <w:t>attribute_join</w:t>
            </w:r>
          </w:p>
        </w:tc>
      </w:tr>
      <w:tr>
        <w:tc>
          <w:tcPr>
            <w:tcW w:type="dxa" w:w="2771"/>
          </w:tcPr>
          <w:p>
            <w:r/>
            <w:r>
              <w:rPr>
                <w:rFonts w:ascii="Times New Roman" w:hAnsi="Times New Roman"/>
                <w:sz w:val="18"/>
              </w:rPr>
              <w:t>(tabular, vector)</w:t>
            </w:r>
          </w:p>
        </w:tc>
        <w:tc>
          <w:tcPr>
            <w:tcW w:type="dxa" w:w="2771"/>
          </w:tcPr>
          <w:p>
            <w:r/>
            <w:r>
              <w:rPr>
                <w:rFonts w:ascii="Times New Roman" w:hAnsi="Times New Roman"/>
                <w:sz w:val="18"/>
              </w:rPr>
              <w:t>attribute_join</w:t>
            </w:r>
          </w:p>
        </w:tc>
        <w:tc>
          <w:tcPr>
            <w:tcW w:type="dxa" w:w="2771"/>
          </w:tcPr>
          <w:p>
            <w:r/>
            <w:r>
              <w:rPr>
                <w:rFonts w:ascii="Times New Roman" w:hAnsi="Times New Roman"/>
                <w:sz w:val="18"/>
              </w:rPr>
              <w:t>attribute_join</w:t>
            </w:r>
          </w:p>
        </w:tc>
      </w:tr>
      <w:tr>
        <w:tc>
          <w:tcPr>
            <w:tcW w:type="dxa" w:w="2771"/>
          </w:tcPr>
          <w:p>
            <w:r/>
            <w:r>
              <w:rPr>
                <w:rFonts w:ascii="Times New Roman" w:hAnsi="Times New Roman"/>
                <w:sz w:val="18"/>
              </w:rPr>
              <w:t>(vector, stream)</w:t>
            </w:r>
          </w:p>
        </w:tc>
        <w:tc>
          <w:tcPr>
            <w:tcW w:type="dxa" w:w="2771"/>
          </w:tcPr>
          <w:p>
            <w:r/>
            <w:r>
              <w:rPr>
                <w:rFonts w:ascii="Times New Roman" w:hAnsi="Times New Roman"/>
                <w:sz w:val="18"/>
              </w:rPr>
              <w:t>time_snapshot</w:t>
            </w:r>
          </w:p>
        </w:tc>
        <w:tc>
          <w:tcPr>
            <w:tcW w:type="dxa" w:w="2771"/>
          </w:tcPr>
          <w:p>
            <w:r/>
            <w:r>
              <w:rPr>
                <w:rFonts w:ascii="Times New Roman" w:hAnsi="Times New Roman"/>
                <w:sz w:val="18"/>
              </w:rPr>
              <w:t>time_snapshot</w:t>
            </w:r>
          </w:p>
        </w:tc>
      </w:tr>
      <w:tr>
        <w:tc>
          <w:tcPr>
            <w:tcW w:type="dxa" w:w="2771"/>
          </w:tcPr>
          <w:p>
            <w:r/>
            <w:r>
              <w:rPr>
                <w:rFonts w:ascii="Times New Roman" w:hAnsi="Times New Roman"/>
                <w:sz w:val="18"/>
              </w:rPr>
              <w:t>(stream, vector)</w:t>
            </w:r>
          </w:p>
        </w:tc>
        <w:tc>
          <w:tcPr>
            <w:tcW w:type="dxa" w:w="2771"/>
          </w:tcPr>
          <w:p>
            <w:r/>
            <w:r>
              <w:rPr>
                <w:rFonts w:ascii="Times New Roman" w:hAnsi="Times New Roman"/>
                <w:sz w:val="18"/>
              </w:rPr>
              <w:t>time_snapshot</w:t>
            </w:r>
          </w:p>
        </w:tc>
        <w:tc>
          <w:tcPr>
            <w:tcW w:type="dxa" w:w="2771"/>
          </w:tcPr>
          <w:p>
            <w:r/>
            <w:r>
              <w:rPr>
                <w:rFonts w:ascii="Times New Roman" w:hAnsi="Times New Roman"/>
                <w:sz w:val="18"/>
              </w:rPr>
              <w:t>time_snapshot</w:t>
            </w:r>
          </w:p>
        </w:tc>
      </w:tr>
      <w:tr>
        <w:tc>
          <w:tcPr>
            <w:tcW w:type="dxa" w:w="2771"/>
          </w:tcPr>
          <w:p>
            <w:r/>
            <w:r>
              <w:rPr>
                <w:rFonts w:ascii="Times New Roman" w:hAnsi="Times New Roman"/>
                <w:sz w:val="18"/>
              </w:rPr>
              <w:t>(vector, point_cloud)</w:t>
            </w:r>
          </w:p>
        </w:tc>
        <w:tc>
          <w:tcPr>
            <w:tcW w:type="dxa" w:w="2771"/>
          </w:tcPr>
          <w:p>
            <w:r/>
            <w:r>
              <w:rPr>
                <w:rFonts w:ascii="Times New Roman" w:hAnsi="Times New Roman"/>
                <w:sz w:val="18"/>
              </w:rPr>
              <w:t>height_assign</w:t>
            </w:r>
          </w:p>
        </w:tc>
        <w:tc>
          <w:tcPr>
            <w:tcW w:type="dxa" w:w="2771"/>
          </w:tcPr>
          <w:p>
            <w:r/>
            <w:r>
              <w:rPr>
                <w:rFonts w:ascii="Times New Roman" w:hAnsi="Times New Roman"/>
                <w:sz w:val="18"/>
              </w:rPr>
              <w:t>height_assign</w:t>
            </w:r>
          </w:p>
        </w:tc>
      </w:tr>
      <w:tr>
        <w:tc>
          <w:tcPr>
            <w:tcW w:type="dxa" w:w="2771"/>
          </w:tcPr>
          <w:p>
            <w:r/>
            <w:r>
              <w:rPr>
                <w:rFonts w:ascii="Times New Roman" w:hAnsi="Times New Roman"/>
                <w:sz w:val="18"/>
              </w:rPr>
              <w:t>(point_cloud, vector)</w:t>
            </w:r>
          </w:p>
        </w:tc>
        <w:tc>
          <w:tcPr>
            <w:tcW w:type="dxa" w:w="2771"/>
          </w:tcPr>
          <w:p>
            <w:r/>
            <w:r>
              <w:rPr>
                <w:rFonts w:ascii="Times New Roman" w:hAnsi="Times New Roman"/>
                <w:sz w:val="18"/>
              </w:rPr>
              <w:t>height_assign</w:t>
            </w:r>
          </w:p>
        </w:tc>
        <w:tc>
          <w:tcPr>
            <w:tcW w:type="dxa" w:w="2771"/>
          </w:tcPr>
          <w:p>
            <w:r/>
            <w:r>
              <w:rPr>
                <w:rFonts w:ascii="Times New Roman" w:hAnsi="Times New Roman"/>
                <w:sz w:val="18"/>
              </w:rPr>
              <w:t>height_assign</w:t>
            </w:r>
          </w:p>
        </w:tc>
      </w:tr>
      <w:tr>
        <w:tc>
          <w:tcPr>
            <w:tcW w:type="dxa" w:w="2771"/>
          </w:tcPr>
          <w:p>
            <w:r/>
            <w:r>
              <w:rPr>
                <w:rFonts w:ascii="Times New Roman" w:hAnsi="Times New Roman"/>
                <w:sz w:val="18"/>
              </w:rPr>
              <w:t>(raster, tabular)</w:t>
            </w:r>
          </w:p>
        </w:tc>
        <w:tc>
          <w:tcPr>
            <w:tcW w:type="dxa" w:w="2771"/>
          </w:tcPr>
          <w:p>
            <w:r/>
            <w:r>
              <w:rPr>
                <w:rFonts w:ascii="Times New Roman" w:hAnsi="Times New Roman"/>
                <w:sz w:val="18"/>
              </w:rPr>
              <w:t>raster_vectorize</w:t>
            </w:r>
          </w:p>
        </w:tc>
        <w:tc>
          <w:tcPr>
            <w:tcW w:type="dxa" w:w="2771"/>
          </w:tcPr>
          <w:p>
            <w:r/>
            <w:r>
              <w:rPr>
                <w:rFonts w:ascii="Times New Roman" w:hAnsi="Times New Roman"/>
                <w:sz w:val="18"/>
              </w:rPr>
              <w:t>raster_vectorize</w:t>
            </w:r>
          </w:p>
        </w:tc>
      </w:tr>
    </w:tbl>
    <w:p>
      <w:pPr>
        <w:pStyle w:val="Heading3"/>
      </w:pPr>
      <w:r>
        <w:t>3.1.1 基础策略查表</w:t>
      </w:r>
    </w:p>
    <w:p>
      <w:r>
        <w:t>自动策略选择的第一步是类型对查表：</w:t>
      </w:r>
    </w:p>
    <w:p>
      <w:pPr>
        <w:spacing w:before="120" w:after="120"/>
        <w:ind w:left="567"/>
      </w:pPr>
      <w:r>
        <w:rPr>
          <w:rFonts w:ascii="Consolas" w:hAnsi="Consolas"/>
          <w:color w:val="333333"/>
          <w:sz w:val="17"/>
        </w:rPr>
        <w:t>输入: aligned_data (已对齐的数据列表), sources (源画像列表)</w:t>
        <w:br/>
        <w:t>输出: strategy_name (字符串)</w:t>
        <w:br/>
        <w:br/>
        <w:t>1. 提取前两个数据源的类型: type_pair = (aligned_data[0][0], aligned_data[1][0])</w:t>
        <w:br/>
        <w:t>2. 查询策略矩阵: strategies = STRATEGY_MATRIX.get(type_pair, [])</w:t>
        <w:br/>
        <w:t>3. 若为空, 尝试反转类型对: strategies = STRATEGY_MATRIX.get(reverse(type_pair), [])</w:t>
        <w:br/>
        <w:t>4. 若仍为空, 抛出 ValueError</w:t>
        <w:br/>
        <w:t>5. 若仅一个候选策略, 直接返回</w:t>
        <w:br/>
        <w:t>6. 若有多个候选策略, 进入数据感知评分阶段</w:t>
      </w:r>
    </w:p>
    <w:p>
      <w:pPr>
        <w:pStyle w:val="Heading3"/>
      </w:pPr>
      <w:r>
        <w:t>3.1.2 数据感知策略评分</w:t>
      </w:r>
    </w:p>
    <w:p>
      <w:r>
        <w:t>评分因子包括：</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
              <w:rPr>
                <w:rFonts w:ascii="Times New Roman" w:hAnsi="Times New Roman"/>
                <w:b/>
                <w:sz w:val="18"/>
              </w:rPr>
              <w:t>评分因子</w:t>
            </w:r>
          </w:p>
        </w:tc>
        <w:tc>
          <w:tcPr>
            <w:tcW w:type="dxa" w:w="2771"/>
          </w:tcPr>
          <w:p>
            <w:r/>
            <w:r>
              <w:rPr>
                <w:rFonts w:ascii="Times New Roman" w:hAnsi="Times New Roman"/>
                <w:b/>
                <w:sz w:val="18"/>
              </w:rPr>
              <w:t>影响的策略选择</w:t>
            </w:r>
          </w:p>
        </w:tc>
        <w:tc>
          <w:tcPr>
            <w:tcW w:type="dxa" w:w="2771"/>
          </w:tcPr>
          <w:p>
            <w:r/>
            <w:r>
              <w:rPr>
                <w:rFonts w:ascii="Times New Roman" w:hAnsi="Times New Roman"/>
                <w:b/>
                <w:sz w:val="18"/>
              </w:rPr>
              <w:t>权重</w:t>
            </w:r>
          </w:p>
        </w:tc>
      </w:tr>
      <w:tr>
        <w:tc>
          <w:tcPr>
            <w:tcW w:type="dxa" w:w="2771"/>
          </w:tcPr>
          <w:p>
            <w:r/>
            <w:r>
              <w:rPr>
                <w:rFonts w:ascii="Times New Roman" w:hAnsi="Times New Roman"/>
                <w:sz w:val="18"/>
              </w:rPr>
              <w:t>空间重叠度 (IoU)</w:t>
            </w:r>
          </w:p>
        </w:tc>
        <w:tc>
          <w:tcPr>
            <w:tcW w:type="dxa" w:w="2771"/>
          </w:tcPr>
          <w:p>
            <w:r/>
            <w:r>
              <w:rPr>
                <w:rFonts w:ascii="Times New Roman" w:hAnsi="Times New Roman"/>
                <w:sz w:val="18"/>
              </w:rPr>
              <w:t>IoU高 → 偏好 spatial_join；IoU低 → 偏好 nearest_join</w:t>
            </w:r>
          </w:p>
        </w:tc>
        <w:tc>
          <w:tcPr>
            <w:tcW w:type="dxa" w:w="2771"/>
          </w:tcPr>
          <w:p>
            <w:r/>
            <w:r>
              <w:rPr>
                <w:rFonts w:ascii="Times New Roman" w:hAnsi="Times New Roman"/>
                <w:sz w:val="18"/>
              </w:rPr>
              <w:t>+0.3</w:t>
            </w:r>
          </w:p>
        </w:tc>
      </w:tr>
      <w:tr>
        <w:tc>
          <w:tcPr>
            <w:tcW w:type="dxa" w:w="2771"/>
          </w:tcPr>
          <w:p>
            <w:r/>
            <w:r>
              <w:rPr>
                <w:rFonts w:ascii="Times New Roman" w:hAnsi="Times New Roman"/>
                <w:sz w:val="18"/>
              </w:rPr>
              <w:t>几何类型</w:t>
            </w:r>
          </w:p>
        </w:tc>
        <w:tc>
          <w:tcPr>
            <w:tcW w:type="dxa" w:w="2771"/>
          </w:tcPr>
          <w:p>
            <w:r/>
            <w:r>
              <w:rPr>
                <w:rFonts w:ascii="Times New Roman" w:hAnsi="Times New Roman"/>
                <w:sz w:val="18"/>
              </w:rPr>
              <w:t>Point → 偏好 nearest_join/point_sampling；Polygon → 偏好 spatial_join/zonal_statistics</w:t>
            </w:r>
          </w:p>
        </w:tc>
        <w:tc>
          <w:tcPr>
            <w:tcW w:type="dxa" w:w="2771"/>
          </w:tcPr>
          <w:p>
            <w:r/>
            <w:r>
              <w:rPr>
                <w:rFonts w:ascii="Times New Roman" w:hAnsi="Times New Roman"/>
                <w:sz w:val="18"/>
              </w:rPr>
              <w:t>+0.3</w:t>
            </w:r>
          </w:p>
        </w:tc>
      </w:tr>
      <w:tr>
        <w:tc>
          <w:tcPr>
            <w:tcW w:type="dxa" w:w="2771"/>
          </w:tcPr>
          <w:p>
            <w:r/>
            <w:r>
              <w:rPr>
                <w:rFonts w:ascii="Times New Roman" w:hAnsi="Times New Roman"/>
                <w:sz w:val="18"/>
              </w:rPr>
              <w:t>数据量比率</w:t>
            </w:r>
          </w:p>
        </w:tc>
        <w:tc>
          <w:tcPr>
            <w:tcW w:type="dxa" w:w="2771"/>
          </w:tcPr>
          <w:p>
            <w:r/>
            <w:r>
              <w:rPr>
                <w:rFonts w:ascii="Times New Roman" w:hAnsi="Times New Roman"/>
                <w:sz w:val="18"/>
              </w:rPr>
              <w:t>大比率差异 → 偏好 zonal_statistics</w:t>
            </w:r>
          </w:p>
        </w:tc>
        <w:tc>
          <w:tcPr>
            <w:tcW w:type="dxa" w:w="2771"/>
          </w:tcPr>
          <w:p>
            <w:r/>
            <w:r>
              <w:rPr>
                <w:rFonts w:ascii="Times New Roman" w:hAnsi="Times New Roman"/>
                <w:sz w:val="18"/>
              </w:rPr>
              <w:t>+0.2</w:t>
            </w:r>
          </w:p>
        </w:tc>
      </w:tr>
      <w:tr>
        <w:tc>
          <w:tcPr>
            <w:tcW w:type="dxa" w:w="2771"/>
          </w:tcPr>
          <w:p>
            <w:r/>
            <w:r>
              <w:rPr>
                <w:rFonts w:ascii="Times New Roman" w:hAnsi="Times New Roman"/>
                <w:sz w:val="18"/>
              </w:rPr>
              <w:t>面×面适中重叠</w:t>
            </w:r>
          </w:p>
        </w:tc>
        <w:tc>
          <w:tcPr>
            <w:tcW w:type="dxa" w:w="2771"/>
          </w:tcPr>
          <w:p>
            <w:r/>
            <w:r>
              <w:rPr>
                <w:rFonts w:ascii="Times New Roman" w:hAnsi="Times New Roman"/>
                <w:sz w:val="18"/>
              </w:rPr>
              <w:t>Polygon × Polygon + IoU 适中 → 偏好 overlay</w:t>
            </w:r>
          </w:p>
        </w:tc>
        <w:tc>
          <w:tcPr>
            <w:tcW w:type="dxa" w:w="2771"/>
          </w:tcPr>
          <w:p>
            <w:r/>
            <w:r>
              <w:rPr>
                <w:rFonts w:ascii="Times New Roman" w:hAnsi="Times New Roman"/>
                <w:sz w:val="18"/>
              </w:rPr>
              <w:t>+0.2</w:t>
            </w:r>
          </w:p>
        </w:tc>
      </w:tr>
    </w:tbl>
    <w:p>
      <w:r>
        <w:t>评分算法：</w:t>
      </w:r>
    </w:p>
    <w:p>
      <w:pPr>
        <w:spacing w:before="120" w:after="120"/>
        <w:ind w:left="567"/>
      </w:pPr>
      <w:r>
        <w:rPr>
          <w:rFonts w:ascii="Consolas" w:hAnsi="Consolas"/>
          <w:color w:val="333333"/>
          <w:sz w:val="17"/>
        </w:rPr>
        <w:t>输入: candidates (候选策略列表), aligned_data (已对齐数据), sources (源画像列表)</w:t>
        <w:br/>
        <w:t>输出: best_strategy (字符串)</w:t>
        <w:br/>
        <w:br/>
        <w:t>1. 初始化 scores = {strategy: 0.0 for strategy in candidates}</w:t>
        <w:br/>
        <w:t>2. 计算空间重叠度: iou = sources[0].spatial_overlap with sources[1]</w:t>
        <w:br/>
        <w:t>3. 提取几何类型: geom_types = [s.geometry_type for s in sources]</w:t>
        <w:br/>
        <w:t>4. 计算数据量比率: row_ratio = max(rows) / min(rows) if min &gt; 0</w:t>
        <w:br/>
        <w:br/>
        <w:t>5. 评分规则:</w:t>
        <w:br/>
        <w:t xml:space="preserve"> - 若 "spatial_join" in candidates:</w:t>
        <w:br/>
        <w:t xml:space="preserve"> if iou &gt; 0.1 and any(geom == "Polygon"): scores["spatial_join"] += 0.3</w:t>
        <w:br/>
        <w:t xml:space="preserve"> - 若 "nearest_join" in candidates:</w:t>
        <w:br/>
        <w:t xml:space="preserve"> if iou &lt; 0.3 or any(geom == "Point"): scores["nearest_join"] += 0.3</w:t>
        <w:br/>
        <w:t xml:space="preserve"> - 若 "overlay" in candidates:</w:t>
        <w:br/>
        <w:t xml:space="preserve"> if all(geom == "Polygon") and 0.05 &lt; iou &lt; 0.8: scores["overlay"] += 0.2</w:t>
        <w:br/>
        <w:t xml:space="preserve"> - 若 "zonal_statistics" in candidates:</w:t>
        <w:br/>
        <w:t xml:space="preserve"> if any(geom == "Polygon"): scores["zonal_statistics"] += 0.3</w:t>
        <w:br/>
        <w:t xml:space="preserve"> - 若 "point_sampling" in candidates:</w:t>
        <w:br/>
        <w:t xml:space="preserve"> if any(geom == "Point"): scores["point_sampling"] += 0.3</w:t>
        <w:br/>
        <w:br/>
        <w:t>6. 返回 max(scores, key=scores.get) — 得分最高的策略</w:t>
        <w:br/>
        <w:t xml:space="preserve"> 若所有得分为0, 退回 candidates[0] 作为默认选择</w:t>
      </w:r>
    </w:p>
    <w:p>
      <w:r>
        <w:t>该设计体现了"约定 + 数据感知"的双层原则：策略矩阵提供类型级别的粗筛，评分器基于具体数据特征进行精选，同时保留用户通过显式指定 `strategy` 参数覆盖自动选择的能力。</w:t>
      </w:r>
    </w:p>
    <w:p>
      <w:pPr>
        <w:pStyle w:val="Heading3"/>
      </w:pPr>
      <w:r>
        <w:t>3.2 融合策略实现</w:t>
      </w:r>
    </w:p>
    <w:p>
      <w:r>
        <w:t>引擎实现了10种融合策略，每种策略作为独立函数注册到 `_STRATEGY_REGISTRY` 字典中。以下对每种策略的算法原理、输入约束和输出特征进行详细说明。</w:t>
      </w:r>
    </w:p>
    <w:p>
      <w:pPr>
        <w:pStyle w:val="Heading3"/>
      </w:pPr>
      <w:r>
        <w:t>3.2.1 空间连接 (spatial_join)</w:t>
      </w:r>
    </w:p>
    <w:p>
      <w:r>
        <w:t>适用场景：两个矢量数据集基于空间关系进行属性关联。</w:t>
      </w:r>
    </w:p>
    <w:p>
      <w:pPr>
        <w:spacing w:before="120" w:after="120"/>
        <w:ind w:left="567"/>
      </w:pPr>
      <w:r>
        <w:rPr>
          <w:rFonts w:ascii="Consolas" w:hAnsi="Consolas"/>
          <w:color w:val="333333"/>
          <w:sz w:val="17"/>
        </w:rPr>
        <w:t>算法:</w:t>
        <w:br/>
        <w:t>1. 提取两个 GeoDataFrame: gdf_left, gdf_right</w:t>
        <w:br/>
        <w:t>2. 执行 gpd.sjoin(gdf_left, gdf_right, how="left", predicate=spatial_predicate)</w:t>
        <w:br/>
        <w:t>3. 清除 index_right 辅助列</w:t>
        <w:br/>
        <w:t>4. 返回连接结果</w:t>
        <w:br/>
        <w:br/>
        <w:t>空间谓词选项: intersects (默认) | contains | within</w:t>
        <w:br/>
        <w:t>时间复杂度: O(n·m) (无空间索引), O(n·log(m)) (R-tree索引)</w:t>
        <w:br/>
        <w:t>输出行数: ≥ len(gdf_left), 因左连接可能产生一对多匹配</w:t>
      </w:r>
    </w:p>
    <w:p>
      <w:pPr>
        <w:pStyle w:val="Heading3"/>
      </w:pPr>
      <w:r>
        <w:t>3.2.2 叠置分析 (overlay)</w:t>
      </w:r>
    </w:p>
    <w:p>
      <w:r>
        <w:t>适用场景：两个面矢量数据集的几何叠置运算。</w:t>
      </w:r>
    </w:p>
    <w:p>
      <w:pPr>
        <w:spacing w:before="120" w:after="120"/>
        <w:ind w:left="567"/>
      </w:pPr>
      <w:r>
        <w:rPr>
          <w:rFonts w:ascii="Consolas" w:hAnsi="Consolas"/>
          <w:color w:val="333333"/>
          <w:sz w:val="17"/>
        </w:rPr>
        <w:t>算法:</w:t>
        <w:br/>
        <w:t>1. 提取两个 GeoDataFrame</w:t>
        <w:br/>
        <w:t>2. 执行 gpd.overlay(gdf_left, gdf_right, how=overlay_how)</w:t>
        <w:br/>
        <w:t>3. 返回叠置结果</w:t>
        <w:br/>
        <w:br/>
        <w:t>叠置方式: union (默认) | intersection | difference | symmetric_difference</w:t>
        <w:br/>
        <w:t>几何处理: 自动切割多边形边界, 生成新的拓扑关系</w:t>
        <w:br/>
        <w:t>输出行数: 取决于几何交集数量, 通常 &gt; max(len(left), len(right))</w:t>
      </w:r>
    </w:p>
    <w:p>
      <w:pPr>
        <w:pStyle w:val="Heading3"/>
      </w:pPr>
      <w:r>
        <w:t>3.2.3 最近邻连接 (nearest_join)</w:t>
      </w:r>
    </w:p>
    <w:p>
      <w:r>
        <w:t>适用场景：基于空间距离的最近邻匹配，适用于无精确空间重叠的数据。</w:t>
      </w:r>
    </w:p>
    <w:p>
      <w:pPr>
        <w:spacing w:before="120" w:after="120"/>
        <w:ind w:left="567"/>
      </w:pPr>
      <w:r>
        <w:rPr>
          <w:rFonts w:ascii="Consolas" w:hAnsi="Consolas"/>
          <w:color w:val="333333"/>
          <w:sz w:val="17"/>
        </w:rPr>
        <w:t>算法:</w:t>
        <w:br/>
        <w:t>1. 提取两个 GeoDataFrame</w:t>
        <w:br/>
        <w:t>2. 执行 gpd.sjoin_nearest(gdf_left, gdf_right, how="left")</w:t>
        <w:br/>
        <w:t>3. 清除辅助列</w:t>
        <w:br/>
        <w:t>4. 返回连接结果</w:t>
        <w:br/>
        <w:br/>
        <w:t>特点: 即使无空间交集也能建立关联</w:t>
        <w:br/>
        <w:t>注意: 地理坐标系下距离计算可能不准确 (应投影到适当的投影坐标系)</w:t>
      </w:r>
    </w:p>
    <w:p>
      <w:pPr>
        <w:pStyle w:val="Heading3"/>
      </w:pPr>
      <w:r>
        <w:t>3.2.4 属性连接 (attribute_join)</w:t>
      </w:r>
    </w:p>
    <w:p>
      <w:r>
        <w:t>适用场景：矢量与表格数据基于共同键字段的属性合并。</w:t>
      </w:r>
    </w:p>
    <w:p>
      <w:pPr>
        <w:spacing w:before="120" w:after="120"/>
        <w:ind w:left="567"/>
      </w:pPr>
      <w:r>
        <w:rPr>
          <w:rFonts w:ascii="Consolas" w:hAnsi="Consolas"/>
          <w:color w:val="333333"/>
          <w:sz w:val="17"/>
        </w:rPr>
        <w:t>算法:</w:t>
        <w:br/>
        <w:t>1. 分离矢量 (GeoDataFrame) 和表格 (DataFrame) 数据</w:t>
        <w:br/>
        <w:t>2. 若未指定 join_column:</w:t>
        <w:br/>
        <w:t xml:space="preserve"> a. 调用 _auto_detect_join_column() 自动检测</w:t>
        <w:br/>
        <w:t xml:space="preserve"> b. 优先匹配 ID 类字段 (包含 "id", "code", "bm", "dm", "fid" 的列名)</w:t>
        <w:br/>
        <w:t xml:space="preserve"> c. 其次匹配任意同名列 (大小写不敏感)</w:t>
        <w:br/>
        <w:t>3. 在表格数据中查找对应列 (支持大小写不敏感 + _right 后缀匹配)</w:t>
        <w:br/>
        <w:t>4. 执行 gdf.merge(df, left_on=join_column, right_on=right_col, how="left")</w:t>
        <w:br/>
        <w:t>5. 确保输出为 GeoDataFrame (保留几何信息)</w:t>
        <w:br/>
        <w:br/>
        <w:t>自动键检测: 3层匹配策略 — 精确→不敏感→后缀</w:t>
        <w:br/>
        <w:t>错误处理: 无法检测到共同键时抛出 ValueError 并给出提示</w:t>
      </w:r>
    </w:p>
    <w:p>
      <w:pPr>
        <w:pStyle w:val="Heading3"/>
      </w:pPr>
      <w:r>
        <w:t>3.2.5 分区统计 (zonal_statistics)</w:t>
      </w:r>
    </w:p>
    <w:p>
      <w:r>
        <w:t>适用场景：将栅格数据的像元值按矢量面要素进行区域统计。</w:t>
      </w:r>
    </w:p>
    <w:p>
      <w:pPr>
        <w:spacing w:before="120" w:after="120"/>
        <w:ind w:left="567"/>
      </w:pPr>
      <w:r>
        <w:rPr>
          <w:rFonts w:ascii="Consolas" w:hAnsi="Consolas"/>
          <w:color w:val="333333"/>
          <w:sz w:val="17"/>
        </w:rPr>
        <w:t>算法:</w:t>
        <w:br/>
        <w:t>1. 分离矢量 (GeoDataFrame) 和栅格 (文件路径) 数据</w:t>
        <w:br/>
        <w:t>2. 调用 rasterstats.zonal_stats(gdf, raster_path, stats=["mean","min","max","count"])</w:t>
        <w:br/>
        <w:t>3. 将统计结果列添加 raster_ 前缀, 避免与原有列冲突</w:t>
        <w:br/>
        <w:t>4. 合并到原 GeoDataFrame</w:t>
        <w:br/>
        <w:br/>
        <w:t>关键参数: stats 列表可自定义 (mean/min/max/sum/count/std/median)</w:t>
        <w:br/>
        <w:t>CRS处理: rasterstats 内部自动处理矢量到栅格CRS的重投影</w:t>
        <w:br/>
        <w:t>输出: 原矢量 + N 个统计列 (N = len(stats))</w:t>
      </w:r>
    </w:p>
    <w:p>
      <w:pPr>
        <w:pStyle w:val="Heading3"/>
      </w:pPr>
      <w:r>
        <w:t>3.2.6 点采样 (point_sampling)</w:t>
      </w:r>
    </w:p>
    <w:p>
      <w:r>
        <w:t>适用场景：在点矢量位置处提取栅格像元值。</w:t>
      </w:r>
    </w:p>
    <w:p>
      <w:pPr>
        <w:spacing w:before="120" w:after="120"/>
        <w:ind w:left="567"/>
      </w:pPr>
      <w:r>
        <w:rPr>
          <w:rFonts w:ascii="Consolas" w:hAnsi="Consolas"/>
          <w:color w:val="333333"/>
          <w:sz w:val="17"/>
        </w:rPr>
        <w:t>算法:</w:t>
        <w:br/>
        <w:t>1. 分离点矢量 (GeoDataFrame) 和栅格 (文件路径) 数据</w:t>
        <w:br/>
        <w:t>2. 提取所有点坐标: [(x, y) for geom in gdf.geometry]</w:t>
        <w:br/>
        <w:t>3. 使用 rasterio.sample(coords) 逐点采样</w:t>
        <w:br/>
        <w:t>4. 为每个波段创建新列: raster_band_1, raster_band_2, ...</w:t>
        <w:br/>
        <w:br/>
        <w:t>约束: 矢量数据应为 Point 类型 (多边形会使用质心)</w:t>
        <w:br/>
        <w:t>输出: 原点矢量 + B 个波段值列 (B = 栅格波段数)</w:t>
      </w:r>
    </w:p>
    <w:p>
      <w:pPr>
        <w:pStyle w:val="Heading3"/>
      </w:pPr>
      <w:r>
        <w:t>3.2.7 波段堆叠 (band_stack)</w:t>
      </w:r>
    </w:p>
    <w:p>
      <w:r>
        <w:t>适用场景：多个单波段栅格合并为多波段数据集。</w:t>
      </w:r>
    </w:p>
    <w:p>
      <w:pPr>
        <w:spacing w:before="120" w:after="120"/>
        <w:ind w:left="567"/>
      </w:pPr>
      <w:r>
        <w:rPr>
          <w:rFonts w:ascii="Consolas" w:hAnsi="Consolas"/>
          <w:color w:val="333333"/>
          <w:sz w:val="17"/>
        </w:rPr>
        <w:t>算法:</w:t>
        <w:br/>
        <w:t>1. 提取两个栅格文件路径</w:t>
        <w:br/>
        <w:t>2. 读取第一个栅格的 band_1, transform, crs 作为参考</w:t>
        <w:br/>
        <w:t>3. 读取第二个栅格的 band_1</w:t>
        <w:br/>
        <w:t>4. 检查维度一致性: shape[0] == shape[1]</w:t>
        <w:br/>
        <w:t>5. 计算归一化差异比值: (band_0 - band_1) / (band_0 + band_1)</w:t>
        <w:br/>
        <w:t>6. 分类为5级: bins=[-0.5, -0.2, 0.0, 0.2, 0.5]</w:t>
        <w:br/>
        <w:t>7. 矢量化为多边形 (rasterio.features.shapes)</w:t>
        <w:br/>
        <w:t>8. 构建 GeoDataFrame</w:t>
        <w:br/>
        <w:br/>
        <w:t>特点: 当前实现执行归一化差异 + 分类 + 矢量化的完整流程</w:t>
        <w:br/>
        <w:t>约束: 两个栅格的空间分辨率和范围必须一致</w:t>
      </w:r>
    </w:p>
    <w:p>
      <w:pPr>
        <w:pStyle w:val="Heading3"/>
      </w:pPr>
      <w:r>
        <w:t>3.2.8 时间快照 (time_snapshot)</w:t>
      </w:r>
    </w:p>
    <w:p>
      <w:r>
        <w:t>适用场景：将实时流数据的时间切片与矢量数据关联。</w:t>
      </w:r>
    </w:p>
    <w:p>
      <w:pPr>
        <w:spacing w:before="120" w:after="120"/>
        <w:ind w:left="567"/>
      </w:pPr>
      <w:r>
        <w:rPr>
          <w:rFonts w:ascii="Consolas" w:hAnsi="Consolas"/>
          <w:color w:val="333333"/>
          <w:sz w:val="17"/>
        </w:rPr>
        <w:t>算法:</w:t>
        <w:br/>
        <w:t>1. 提取矢量 GeoDataFrame</w:t>
        <w:br/>
        <w:t>2. 添加 _fusion_timestamp 列 (当前时间戳 ISO 格式)</w:t>
        <w:br/>
        <w:t>3. 返回标注了时间戳的结果</w:t>
        <w:br/>
        <w:br/>
        <w:t>设计说明: 当前实现为占位框架, 完整实现需与 streaming_tools 的实时</w:t>
        <w:br/>
        <w:t>数据获取接口集成, 执行空间-时间双重连接</w:t>
      </w:r>
    </w:p>
    <w:p>
      <w:pPr>
        <w:pStyle w:val="Heading3"/>
      </w:pPr>
      <w:r>
        <w:t>3.2.9 高度赋值 (height_assign)</w:t>
      </w:r>
    </w:p>
    <w:p>
      <w:r>
        <w:t>适用场景：将点云数据的高程信息赋予矢量面要素。</w:t>
      </w:r>
    </w:p>
    <w:p>
      <w:pPr>
        <w:spacing w:before="120" w:after="120"/>
        <w:ind w:left="567"/>
      </w:pPr>
      <w:r>
        <w:rPr>
          <w:rFonts w:ascii="Consolas" w:hAnsi="Consolas"/>
          <w:color w:val="333333"/>
          <w:sz w:val="17"/>
        </w:rPr>
        <w:t>算法:</w:t>
        <w:br/>
        <w:t>1. 提取矢量 GeoDataFrame</w:t>
        <w:br/>
        <w:t>2. 添加 height_m 列 (默认值 0.0)</w:t>
        <w:br/>
        <w:t>3. 返回结果</w:t>
        <w:br/>
        <w:br/>
        <w:t>设计说明: 当前实现为占位框架, 完整实现需使用 laspy 库读取点云,</w:t>
        <w:br/>
        <w:t>按空间位置计算每个面要素内点云的平均/最大/最小高度</w:t>
      </w:r>
    </w:p>
    <w:p>
      <w:pPr>
        <w:pStyle w:val="Heading3"/>
      </w:pPr>
      <w:r>
        <w:t>3.2.10 栅格矢量化 (raster_vectorize)</w:t>
      </w:r>
    </w:p>
    <w:p>
      <w:r>
        <w:t>适用场景：将栅格数据转换为矢量后与表格数据合并。</w:t>
      </w:r>
    </w:p>
    <w:p>
      <w:pPr>
        <w:spacing w:before="120" w:after="120"/>
        <w:ind w:left="567"/>
      </w:pPr>
      <w:r>
        <w:rPr>
          <w:rFonts w:ascii="Consolas" w:hAnsi="Consolas"/>
          <w:color w:val="333333"/>
          <w:sz w:val="17"/>
        </w:rPr>
        <w:t>算法:</w:t>
        <w:br/>
        <w:t>1. 分离栅格 (文件路径) 和表格 (DataFrame) 数据</w:t>
        <w:br/>
        <w:t>2. 读取栅格 band_1, transform, crs</w:t>
        <w:br/>
        <w:t>3. 使用 rasterio.features.shapes() 将像元值相同的区域矢量化</w:t>
        <w:br/>
        <w:t>4. 构建 GeoDataFrame (raster_value 列 + 多边形几何)</w:t>
        <w:br/>
        <w:t>5. 若表格行数与矢量化结果行数一致, 直接追加属性列</w:t>
        <w:br/>
        <w:br/>
        <w:t>约束: 栅格应为分类数据 (整型值), 连续栅格需先分类</w:t>
      </w:r>
    </w:p>
    <w:p>
      <w:pPr>
        <w:pStyle w:val="Heading3"/>
      </w:pPr>
      <w:r>
        <w:t>3.3 兼容性评分模型</w:t>
      </w:r>
    </w:p>
    <w:p>
      <w:r>
        <w:t>兼容性评估采用四维加权评分模型，总分 ∈ [0, 1]：</w:t>
      </w:r>
    </w:p>
    <w:p>
      <w:pPr>
        <w:spacing w:before="120" w:after="120"/>
        <w:ind w:left="567"/>
      </w:pPr>
      <w:r>
        <w:rPr>
          <w:rFonts w:ascii="Consolas" w:hAnsi="Consolas"/>
          <w:color w:val="333333"/>
          <w:sz w:val="17"/>
        </w:rPr>
        <w:t>overall_score = min(S_crs + S_spatial + S_field + S_strategy, 1.0)</w:t>
        <w:br/>
        <w:br/>
        <w:t>其中:</w:t>
        <w:br/>
        <w:t xml:space="preserve"> S_crs = 0.30 若 CRS 完全一致</w:t>
        <w:br/>
        <w:t xml:space="preserve"> = 0.15 若 CRS 不一致但可修复 (存在已知CRS)</w:t>
        <w:br/>
        <w:t xml:space="preserve"> = 0.00 若无CRS信息</w:t>
        <w:br/>
        <w:br/>
        <w:t xml:space="preserve"> S_spatial = 0.30 若 IoU(bbox_1, bbox_2) &gt; 0.1</w:t>
        <w:br/>
        <w:t xml:space="preserve"> = 0.20 若任一数据源为表格类型 (无需空间重叠)</w:t>
        <w:br/>
        <w:t xml:space="preserve"> = 0.00 其他情况</w:t>
        <w:br/>
        <w:br/>
        <w:t xml:space="preserve"> S_field = 0.20 若发现至少一个语义匹配的字段对</w:t>
        <w:br/>
        <w:t xml:space="preserve"> = 0.00 无匹配</w:t>
        <w:br/>
        <w:br/>
        <w:t xml:space="preserve"> S_strategy= 0.20 若策略矩阵中存在该类型对的融合策略</w:t>
        <w:br/>
        <w:t xml:space="preserve"> = 0.00 无可用策略</w:t>
      </w:r>
    </w:p>
    <w:p>
      <w:r>
        <w:t>该评分模型的设计考虑了以下原则：</w:t>
      </w:r>
    </w:p>
    <w:p>
      <w:pPr>
        <w:pStyle w:val="ListBullet"/>
      </w:pPr>
      <w:r>
        <w:t>**CRS权重最高（0.30）**：坐标系不一致是融合失败的最常见原因，但该问题可通过重投影自动修复，因此不一致但可修复的情况仍给予部分分数</w:t>
      </w:r>
    </w:p>
    <w:p>
      <w:pPr>
        <w:pStyle w:val="ListBullet"/>
      </w:pPr>
      <w:r>
        <w:t>**空间重叠次高（0.30）**：空间范围不重叠的数据融合通常无意义，但对于表格数据（无空间属性），降低此维度的要求</w:t>
      </w:r>
    </w:p>
    <w:p>
      <w:pPr>
        <w:pStyle w:val="ListBullet"/>
      </w:pPr>
      <w:r>
        <w:t>**字段匹配和策略可用性各占0.20**：作为辅助判断维度</w:t>
      </w:r>
    </w:p>
    <w:p>
      <w:pPr>
        <w:pStyle w:val="Heading3"/>
      </w:pPr>
      <w:r>
        <w:t>3.4 四层渐进式语义字段匹配</w:t>
      </w:r>
    </w:p>
    <w:p>
      <w:r>
        <w:t>将字段匹配从原始的两阶段硬编码策略升级为四层渐进式匹配系统，借鉴了 通过数据驱动方式自动发现地理元素间语义关系的思路，在确定性规则引擎框架内实现了从精确匹配到模糊推理的渐进式语义发现。</w:t>
      </w:r>
    </w:p>
    <w:p>
      <w:pPr>
        <w:pStyle w:val="Heading3"/>
      </w:pPr>
      <w:r>
        <w:t>第一层：精确匹配（confidence = 1.0）</w:t>
      </w:r>
    </w:p>
    <w:p>
      <w:r>
        <w:t>对两个数据源的列名进行大小写不敏感的精确比较。例如 `AREA` 与 `Area` 会匹配。这是最高置信度的匹配层，不会产生误匹配。</w:t>
      </w:r>
    </w:p>
    <w:p>
      <w:pPr>
        <w:pStyle w:val="Heading3"/>
      </w:pPr>
      <w:r>
        <w:t>第二层：等价组匹配（confidence = 0.8）</w:t>
      </w:r>
    </w:p>
    <w:p>
      <w:r>
        <w:t>定义了10个语义等价组（从 的6组扩展），覆盖GIS领域最常见的中英文字段命名模式：</w:t>
      </w:r>
    </w:p>
    <w:p>
      <w:pPr>
        <w:spacing w:before="120" w:after="120"/>
        <w:ind w:left="567"/>
      </w:pPr>
      <w:r>
        <w:rPr>
          <w:rFonts w:ascii="Consolas" w:hAnsi="Consolas"/>
          <w:color w:val="333333"/>
          <w:sz w:val="17"/>
        </w:rPr>
        <w:t>equiv_groups = [</w:t>
        <w:br/>
        <w:t xml:space="preserve"> {"area", "面积", "zmj", "tbmj", "mj", "shape_area"}, # 面积语义组</w:t>
        <w:br/>
        <w:t xml:space="preserve"> {"name", "名称", "mc", "dlmc", "qsdwmc", "dkmc"}, # 名称语义组</w:t>
        <w:br/>
        <w:t xml:space="preserve"> {"code", "编码", "dm", "dlbm", "bm", "dkbm"}, # 编码语义组</w:t>
        <w:br/>
        <w:t xml:space="preserve"> {"type", "类型", "lx", "dllx", "tdlylx"}, # 类型语义组</w:t>
        <w:br/>
        <w:t xml:space="preserve"> {"slope", "坡度", "pd", "slope_deg"}, # 坡度语义组</w:t>
        <w:br/>
        <w:t xml:space="preserve"> {"id", "objectid", "fid", "gid", "pkid"}, # 标识符语义组</w:t>
        <w:br/>
        <w:t xml:space="preserve"> {"population", "人口", "rk", "rksl", "pop"}, # 人口语义组（）</w:t>
        <w:br/>
        <w:t xml:space="preserve"> {"address", "地址", "dz", "addr", "location"}, # 地址语义组（）</w:t>
        <w:br/>
        <w:t xml:space="preserve"> {"elevation", "高程", "dem", "gc", "alt", "height"}, # 高程语义组（）</w:t>
        <w:br/>
        <w:t xml:space="preserve"> {"perimeter", "周长", "zc", "shape_length"}, # 周长语义组（）</w:t>
        <w:br/>
        <w:t>]</w:t>
      </w:r>
    </w:p>
    <w:p>
      <w:r>
        <w:t>匹配算法：对于每个等价组，在两个数据源的列名中分别查找属于该组的成员。若左源命中 `area`，右源命中 `zmj`，则建立 `{left: "area", right: "zmj", confidence: 0.8}` 的匹配关系。采用"右列优先"的去重策略——每个右侧列最多匹配一个左侧列，避免一对多歧义。</w:t>
      </w:r>
    </w:p>
    <w:p>
      <w:pPr>
        <w:pStyle w:val="Heading3"/>
      </w:pPr>
      <w:r>
        <w:t>第三层：单位感知匹配（confidence = 0.75）</w:t>
      </w:r>
    </w:p>
    <w:p>
      <w:r>
        <w:t>识别列名中的度量单位后缀，剥离单位部分后进行基名比较。这解决了同一概念因单位标注不同而无法匹配的问题（如 `area_m2` 与 `area_mu`）。</w:t>
      </w:r>
    </w:p>
    <w:p>
      <w:pPr>
        <w:spacing w:before="120" w:after="120"/>
        <w:ind w:left="567"/>
      </w:pPr>
      <w:r>
        <w:rPr>
          <w:rFonts w:ascii="Consolas" w:hAnsi="Consolas"/>
          <w:color w:val="333333"/>
          <w:sz w:val="17"/>
        </w:rPr>
        <w:t>支持的单位模式:</w:t>
        <w:br/>
        <w:t xml:space="preserve"> _(m2|sqm|平方米) → m2 (平方米)</w:t>
        <w:br/>
        <w:t xml:space="preserve"> _(mu|亩) → mu (亩)</w:t>
        <w:br/>
        <w:t xml:space="preserve"> _(ha|hectare|公顷) → ha (公顷)</w:t>
        <w:br/>
        <w:t xml:space="preserve"> _(km2|sqkm|平方公里) → km2 (平方公里)</w:t>
        <w:br/>
        <w:t xml:space="preserve"> _(m|meter|米) → m (米)</w:t>
        <w:br/>
        <w:t xml:space="preserve"> _(km|千米|公里) → km (千米)</w:t>
        <w:br/>
        <w:t xml:space="preserve"> _(deg|degree|度) → deg (度)</w:t>
        <w:br/>
        <w:br/>
        <w:t>匹配算法:</w:t>
        <w:br/>
        <w:t>1. 对列名调用 _detect_unit(col_name) → (base_name, unit)</w:t>
        <w:br/>
        <w:t>2. 若两列的 base_name 相同且 unit 不同:</w:t>
        <w:br/>
        <w:t xml:space="preserve"> 标记为单位感知匹配, confidence = 0.75</w:t>
        <w:br/>
        <w:t xml:space="preserve"> 记录两侧的单位信息供后续自动转换</w:t>
      </w:r>
    </w:p>
    <w:p>
      <w:pPr>
        <w:pStyle w:val="Heading3"/>
      </w:pPr>
      <w:r>
        <w:t>第四层：模糊匹配（confidence = 0.5~0.7）</w:t>
      </w:r>
    </w:p>
    <w:p>
      <w:r>
        <w:t>使用 `difflib.SequenceMatcher` 计算列名间的字符序列相似度，捕获拼写变体、缩写差异等情况。</w:t>
      </w:r>
    </w:p>
    <w:p>
      <w:pPr>
        <w:spacing w:before="120" w:after="120"/>
        <w:ind w:left="567"/>
      </w:pPr>
      <w:r>
        <w:rPr>
          <w:rFonts w:ascii="Consolas" w:hAnsi="Consolas"/>
          <w:color w:val="333333"/>
          <w:sz w:val="17"/>
        </w:rPr>
        <w:t>匹配算法:</w:t>
        <w:br/>
        <w:t>1. 对所有未匹配的列对, 计算 SequenceMatcher.ratio()</w:t>
        <w:br/>
        <w:t>2. 阈值: ratio ≥ 0.6</w:t>
        <w:br/>
        <w:t>3. confidence = ratio × 1.0 (即 0.6~1.0 之间, 实际范围 ~0.6~0.7)</w:t>
        <w:br/>
        <w:t>4. 过滤: 跳过列名长度 ≤ 2 的字段 (短名易误匹配)</w:t>
        <w:br/>
        <w:t>5. 去重: 已在上层匹配的列不参与模糊匹配</w:t>
      </w:r>
    </w:p>
    <w:p>
      <w:r>
        <w:rPr>
          <w:b/>
        </w:rPr>
        <w:t>四层匹配的设计哲学</w:t>
      </w:r>
      <w:r>
        <w:t>：层级递增代表置信度递减和覆盖面递增的权衡。精确匹配最可靠但覆盖面最窄；模糊匹配覆盖面最广但可能引入假阳性。单位感知匹配作为第三层，介于等价组和模糊匹配之间，既有语义层面的理解（识别度量单位），又保持了较高的可靠性。</w:t>
      </w:r>
    </w:p>
    <w:p>
      <w:pPr>
        <w:pStyle w:val="Heading3"/>
      </w:pPr>
      <w:r>
        <w:t>3.5 列名冲突消解</w:t>
      </w:r>
    </w:p>
    <w:p>
      <w:r>
        <w:t>当两个数据源存在同名列（排除 `geometry`）时，引擎自动为第二个数据源的冲突列添加 `_right` 后缀：</w:t>
      </w:r>
    </w:p>
    <w:p>
      <w:pPr>
        <w:spacing w:before="120" w:after="120"/>
        <w:ind w:left="567"/>
      </w:pPr>
      <w:r>
        <w:rPr>
          <w:rFonts w:ascii="Consolas" w:hAnsi="Consolas"/>
          <w:color w:val="333333"/>
          <w:sz w:val="17"/>
        </w:rPr>
        <w:t>源1: [OBJECTID, AREA, SLOPE, geometry]</w:t>
        <w:br/>
        <w:t>源2: [OBJECTID, VALUE, OWNER]</w:t>
        <w:br/>
        <w:br/>
        <w:t>冲突检测: {OBJECTID}</w:t>
        <w:br/>
        <w:t>消解后源2: [OBJECTID_right, VALUE, OWNER]</w:t>
        <w:br/>
        <w:br/>
        <w:t>后续 attribute_join 中的键查找支持 _right 后缀回溯:</w:t>
        <w:br/>
        <w:t>join_column="OBJECTID" → 在源2中查找 "OBJECTID" → "objectid" → "OBJECTID_right"</w:t>
      </w:r>
    </w:p>
    <w:p>
      <w:pPr>
        <w:pStyle w:val="Heading3"/>
      </w:pPr>
      <w:r>
        <w:t>3.6 增强质量验证模型</w:t>
      </w:r>
    </w:p>
    <w:p>
      <w:r>
        <w:t>融合结果自动经过多层次质量检查，在原有4项检查基础上新增了异常值检测、微面检测和列完整性追踪：</w:t>
      </w:r>
    </w:p>
    <w:p>
      <w:r>
        <w:rPr>
          <w:b/>
          <w:sz w:val="21"/>
        </w:rPr>
        <w:t>表7：质量检查项</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
              <w:rPr>
                <w:rFonts w:ascii="Times New Roman" w:hAnsi="Times New Roman"/>
                <w:b/>
                <w:sz w:val="18"/>
              </w:rPr>
              <w:t>检查项</w:t>
            </w:r>
          </w:p>
        </w:tc>
        <w:tc>
          <w:tcPr>
            <w:tcW w:type="dxa" w:w="2771"/>
          </w:tcPr>
          <w:p>
            <w:r/>
            <w:r>
              <w:rPr>
                <w:rFonts w:ascii="Times New Roman" w:hAnsi="Times New Roman"/>
                <w:b/>
                <w:sz w:val="18"/>
              </w:rPr>
              <w:t>触发条件</w:t>
            </w:r>
          </w:p>
        </w:tc>
        <w:tc>
          <w:tcPr>
            <w:tcW w:type="dxa" w:w="2771"/>
          </w:tcPr>
          <w:p>
            <w:r/>
            <w:r>
              <w:rPr>
                <w:rFonts w:ascii="Times New Roman" w:hAnsi="Times New Roman"/>
                <w:b/>
                <w:sz w:val="18"/>
              </w:rPr>
              <w:t>评分影响</w:t>
            </w:r>
          </w:p>
        </w:tc>
      </w:tr>
      <w:tr>
        <w:tc>
          <w:tcPr>
            <w:tcW w:type="dxa" w:w="2771"/>
          </w:tcPr>
          <w:p>
            <w:r/>
            <w:r>
              <w:rPr>
                <w:rFonts w:ascii="Times New Roman" w:hAnsi="Times New Roman"/>
                <w:sz w:val="18"/>
              </w:rPr>
              <w:t>空结果检测</w:t>
            </w:r>
          </w:p>
        </w:tc>
        <w:tc>
          <w:tcPr>
            <w:tcW w:type="dxa" w:w="2771"/>
          </w:tcPr>
          <w:p>
            <w:r/>
            <w:r>
              <w:rPr>
                <w:rFonts w:ascii="Times New Roman" w:hAnsi="Times New Roman"/>
                <w:sz w:val="18"/>
              </w:rPr>
              <w:t>`len(data) == 0`</w:t>
            </w:r>
          </w:p>
        </w:tc>
        <w:tc>
          <w:tcPr>
            <w:tcW w:type="dxa" w:w="2771"/>
          </w:tcPr>
          <w:p>
            <w:r/>
            <w:r>
              <w:rPr>
                <w:rFonts w:ascii="Times New Roman" w:hAnsi="Times New Roman"/>
                <w:sz w:val="18"/>
              </w:rPr>
              <w:t>直接返回 0.0</w:t>
            </w:r>
          </w:p>
        </w:tc>
      </w:tr>
      <w:tr>
        <w:tc>
          <w:tcPr>
            <w:tcW w:type="dxa" w:w="2771"/>
          </w:tcPr>
          <w:p>
            <w:r/>
            <w:r>
              <w:rPr>
                <w:rFonts w:ascii="Times New Roman" w:hAnsi="Times New Roman"/>
                <w:sz w:val="18"/>
              </w:rPr>
              <w:t>空值率过高</w:t>
            </w:r>
          </w:p>
        </w:tc>
        <w:tc>
          <w:tcPr>
            <w:tcW w:type="dxa" w:w="2771"/>
          </w:tcPr>
          <w:p>
            <w:r/>
            <w:r>
              <w:rPr>
                <w:rFonts w:ascii="Times New Roman" w:hAnsi="Times New Roman"/>
                <w:sz w:val="18"/>
              </w:rPr>
              <w:t>某列 `null% &gt; 50%`</w:t>
            </w:r>
          </w:p>
        </w:tc>
        <w:tc>
          <w:tcPr>
            <w:tcW w:type="dxa" w:w="2771"/>
          </w:tcPr>
          <w:p>
            <w:r/>
            <w:r>
              <w:rPr>
                <w:rFonts w:ascii="Times New Roman" w:hAnsi="Times New Roman"/>
                <w:sz w:val="18"/>
              </w:rPr>
              <w:t>-0.10/列</w:t>
            </w:r>
          </w:p>
        </w:tc>
      </w:tr>
      <w:tr>
        <w:tc>
          <w:tcPr>
            <w:tcW w:type="dxa" w:w="2771"/>
          </w:tcPr>
          <w:p>
            <w:r/>
            <w:r>
              <w:rPr>
                <w:rFonts w:ascii="Times New Roman" w:hAnsi="Times New Roman"/>
                <w:sz w:val="18"/>
              </w:rPr>
              <w:t>空值率中等</w:t>
            </w:r>
          </w:p>
        </w:tc>
        <w:tc>
          <w:tcPr>
            <w:tcW w:type="dxa" w:w="2771"/>
          </w:tcPr>
          <w:p>
            <w:r/>
            <w:r>
              <w:rPr>
                <w:rFonts w:ascii="Times New Roman" w:hAnsi="Times New Roman"/>
                <w:sz w:val="18"/>
              </w:rPr>
              <w:t>某列 `20% &lt; null% ≤ 50%`</w:t>
            </w:r>
          </w:p>
        </w:tc>
        <w:tc>
          <w:tcPr>
            <w:tcW w:type="dxa" w:w="2771"/>
          </w:tcPr>
          <w:p>
            <w:r/>
            <w:r>
              <w:rPr>
                <w:rFonts w:ascii="Times New Roman" w:hAnsi="Times New Roman"/>
                <w:sz w:val="18"/>
              </w:rPr>
              <w:t>-0.05/列</w:t>
            </w:r>
          </w:p>
        </w:tc>
      </w:tr>
      <w:tr>
        <w:tc>
          <w:tcPr>
            <w:tcW w:type="dxa" w:w="2771"/>
          </w:tcPr>
          <w:p>
            <w:r/>
            <w:r>
              <w:rPr>
                <w:rFonts w:ascii="Times New Roman" w:hAnsi="Times New Roman"/>
                <w:sz w:val="18"/>
              </w:rPr>
              <w:t>几何无效</w:t>
            </w:r>
          </w:p>
        </w:tc>
        <w:tc>
          <w:tcPr>
            <w:tcW w:type="dxa" w:w="2771"/>
          </w:tcPr>
          <w:p>
            <w:r/>
            <w:r>
              <w:rPr>
                <w:rFonts w:ascii="Times New Roman" w:hAnsi="Times New Roman"/>
                <w:sz w:val="18"/>
              </w:rPr>
              <w:t>`invalid_pct &gt; 0`</w:t>
            </w:r>
          </w:p>
        </w:tc>
        <w:tc>
          <w:tcPr>
            <w:tcW w:type="dxa" w:w="2771"/>
          </w:tcPr>
          <w:p>
            <w:r/>
            <w:r>
              <w:rPr>
                <w:rFonts w:ascii="Times New Roman" w:hAnsi="Times New Roman"/>
                <w:sz w:val="18"/>
              </w:rPr>
              <w:t>-0.15</w:t>
            </w:r>
          </w:p>
        </w:tc>
      </w:tr>
      <w:tr>
        <w:tc>
          <w:tcPr>
            <w:tcW w:type="dxa" w:w="2771"/>
          </w:tcPr>
          <w:p>
            <w:r/>
            <w:r>
              <w:rPr>
                <w:rFonts w:ascii="Times New Roman" w:hAnsi="Times New Roman"/>
                <w:sz w:val="18"/>
              </w:rPr>
              <w:t>完整性不足</w:t>
            </w:r>
          </w:p>
        </w:tc>
        <w:tc>
          <w:tcPr>
            <w:tcW w:type="dxa" w:w="2771"/>
          </w:tcPr>
          <w:p>
            <w:r/>
            <w:r>
              <w:rPr>
                <w:rFonts w:ascii="Times New Roman" w:hAnsi="Times New Roman"/>
                <w:sz w:val="18"/>
              </w:rPr>
              <w:t>`output_rows / max_source_rows &lt; 0.5`</w:t>
            </w:r>
          </w:p>
        </w:tc>
        <w:tc>
          <w:tcPr>
            <w:tcW w:type="dxa" w:w="2771"/>
          </w:tcPr>
          <w:p>
            <w:r/>
            <w:r>
              <w:rPr>
                <w:rFonts w:ascii="Times New Roman" w:hAnsi="Times New Roman"/>
                <w:sz w:val="18"/>
              </w:rPr>
              <w:t>-0.15</w:t>
            </w:r>
          </w:p>
        </w:tc>
      </w:tr>
      <w:tr>
        <w:tc>
          <w:tcPr>
            <w:tcW w:type="dxa" w:w="2771"/>
          </w:tcPr>
          <w:p>
            <w:r/>
            <w:r>
              <w:rPr>
                <w:rFonts w:ascii="Times New Roman" w:hAnsi="Times New Roman"/>
                <w:sz w:val="18"/>
              </w:rPr>
              <w:t>属性异常值</w:t>
            </w:r>
          </w:p>
        </w:tc>
        <w:tc>
          <w:tcPr>
            <w:tcW w:type="dxa" w:w="2771"/>
          </w:tcPr>
          <w:p>
            <w:r/>
            <w:r>
              <w:rPr>
                <w:rFonts w:ascii="Times New Roman" w:hAnsi="Times New Roman"/>
                <w:sz w:val="18"/>
              </w:rPr>
              <w:t>数值列存在 IQR 离群值</w:t>
            </w:r>
          </w:p>
        </w:tc>
        <w:tc>
          <w:tcPr>
            <w:tcW w:type="dxa" w:w="2771"/>
          </w:tcPr>
          <w:p>
            <w:r/>
            <w:r>
              <w:rPr>
                <w:rFonts w:ascii="Times New Roman" w:hAnsi="Times New Roman"/>
                <w:sz w:val="18"/>
              </w:rPr>
              <w:t>-0.05/列</w:t>
            </w:r>
          </w:p>
        </w:tc>
      </w:tr>
      <w:tr>
        <w:tc>
          <w:tcPr>
            <w:tcW w:type="dxa" w:w="2771"/>
          </w:tcPr>
          <w:p>
            <w:r/>
            <w:r>
              <w:rPr>
                <w:rFonts w:ascii="Times New Roman" w:hAnsi="Times New Roman"/>
                <w:sz w:val="18"/>
              </w:rPr>
              <w:t>微面多边形</w:t>
            </w:r>
          </w:p>
        </w:tc>
        <w:tc>
          <w:tcPr>
            <w:tcW w:type="dxa" w:w="2771"/>
          </w:tcPr>
          <w:p>
            <w:r/>
            <w:r>
              <w:rPr>
                <w:rFonts w:ascii="Times New Roman" w:hAnsi="Times New Roman"/>
                <w:sz w:val="18"/>
              </w:rPr>
              <w:t>面积 &lt; 中位面积的 0.1%</w:t>
            </w:r>
          </w:p>
        </w:tc>
        <w:tc>
          <w:tcPr>
            <w:tcW w:type="dxa" w:w="2771"/>
          </w:tcPr>
          <w:p>
            <w:r/>
            <w:r>
              <w:rPr>
                <w:rFonts w:ascii="Times New Roman" w:hAnsi="Times New Roman"/>
                <w:sz w:val="18"/>
              </w:rPr>
              <w:t>-0.05</w:t>
            </w:r>
          </w:p>
        </w:tc>
      </w:tr>
      <w:tr>
        <w:tc>
          <w:tcPr>
            <w:tcW w:type="dxa" w:w="2771"/>
          </w:tcPr>
          <w:p>
            <w:r/>
            <w:r>
              <w:rPr>
                <w:rFonts w:ascii="Times New Roman" w:hAnsi="Times New Roman"/>
                <w:sz w:val="18"/>
              </w:rPr>
              <w:t>列完整性低</w:t>
            </w:r>
          </w:p>
        </w:tc>
        <w:tc>
          <w:tcPr>
            <w:tcW w:type="dxa" w:w="2771"/>
          </w:tcPr>
          <w:p>
            <w:r/>
            <w:r>
              <w:rPr>
                <w:rFonts w:ascii="Times New Roman" w:hAnsi="Times New Roman"/>
                <w:sz w:val="18"/>
              </w:rPr>
              <w:t>融合后列数 &lt; 源列数之和的 50%</w:t>
            </w:r>
          </w:p>
        </w:tc>
        <w:tc>
          <w:tcPr>
            <w:tcW w:type="dxa" w:w="2771"/>
          </w:tcPr>
          <w:p>
            <w:r/>
            <w:r>
              <w:rPr>
                <w:rFonts w:ascii="Times New Roman" w:hAnsi="Times New Roman"/>
                <w:sz w:val="18"/>
              </w:rPr>
              <w:t>-0.10</w:t>
            </w:r>
          </w:p>
        </w:tc>
      </w:tr>
    </w:tbl>
    <w:p>
      <w:pPr>
        <w:pStyle w:val="Heading3"/>
      </w:pPr>
      <w:r>
        <w:t>3.6.1 异常值检测</w:t>
      </w:r>
    </w:p>
    <w:p>
      <w:r>
        <w:t>对融合结果的数值型列进行基于四分位距（IQR）的异常值检测：</w:t>
      </w:r>
    </w:p>
    <w:p>
      <w:pPr>
        <w:spacing w:before="120" w:after="120"/>
        <w:ind w:left="567"/>
      </w:pPr>
      <w:r>
        <w:rPr>
          <w:rFonts w:ascii="Consolas" w:hAnsi="Consolas"/>
          <w:color w:val="333333"/>
          <w:sz w:val="17"/>
        </w:rPr>
        <w:t>算法:</w:t>
        <w:br/>
        <w:t>1. 对每个数值列 col:</w:t>
        <w:br/>
        <w:t xml:space="preserve"> Q1 = col.quantile(0.25)</w:t>
        <w:br/>
        <w:t xml:space="preserve"> Q3 = col.quantile(0.75)</w:t>
        <w:br/>
        <w:t xml:space="preserve"> IQR = Q3 - Q1</w:t>
        <w:br/>
        <w:t>2. 若 IQR &gt; 0:</w:t>
        <w:br/>
        <w:t xml:space="preserve"> lower_bound = Q1 - 3.0 × IQR</w:t>
        <w:br/>
        <w:t xml:space="preserve"> upper_bound = Q3 + 3.0 × IQR</w:t>
        <w:br/>
        <w:t xml:space="preserve"> outlier_count = count(values outside bounds)</w:t>
        <w:br/>
        <w:t>3. 若 outlier_count &gt; 0: 记录警告 + 扣 0.05 分</w:t>
        <w:br/>
        <w:br/>
        <w:t>阈值说明: 使用 3.0 × IQR（而非常用的 1.5 × IQR）以降低假阳性，</w:t>
        <w:br/>
        <w:t xml:space="preserve"> 仅标记极端异常值，适配GIS数据的高方差特征。</w:t>
      </w:r>
    </w:p>
    <w:p>
      <w:pPr>
        <w:pStyle w:val="Heading3"/>
      </w:pPr>
      <w:r>
        <w:t>3.6.2 微面多边形检测</w:t>
      </w:r>
    </w:p>
    <w:p>
      <w:r>
        <w:t>检测融合过程中可能产生的碎片多边形（sliver polygons）：</w:t>
      </w:r>
    </w:p>
    <w:p>
      <w:pPr>
        <w:spacing w:before="120" w:after="120"/>
        <w:ind w:left="567"/>
      </w:pPr>
      <w:r>
        <w:rPr>
          <w:rFonts w:ascii="Consolas" w:hAnsi="Consolas"/>
          <w:color w:val="333333"/>
          <w:sz w:val="17"/>
        </w:rPr>
        <w:t>算法:</w:t>
        <w:br/>
        <w:t>1. 计算所有面要素的面积</w:t>
        <w:br/>
        <w:t>2. 计算中位面积 median_area</w:t>
        <w:br/>
        <w:t>3. 阈值 = median_area × 0.001</w:t>
        <w:br/>
        <w:t>4. 统计面积 &lt; 阈值的要素比例</w:t>
        <w:br/>
        <w:t>5. 若比例 &gt; 0: 记录警告 + 扣 0.05 分</w:t>
        <w:br/>
        <w:br/>
        <w:t>场景: 空间叠置(overlay)和空间连接(spatial_join)可能在</w:t>
        <w:br/>
        <w:t xml:space="preserve"> 多边形边界处产生极小碎片，需提醒用户清理。</w:t>
      </w:r>
    </w:p>
    <w:p>
      <w:pPr>
        <w:pStyle w:val="Heading3"/>
      </w:pPr>
      <w:r>
        <w:t>3.6.3 详细质量报告</w:t>
      </w:r>
    </w:p>
    <w:p>
      <w:r>
        <w:t>的 `validate_quality()` 返回结构从 `{score, warnings}` 扩展为 `{score, warnings, details}`：</w:t>
      </w:r>
    </w:p>
    <w:p>
      <w:pPr>
        <w:spacing w:before="120" w:after="120"/>
        <w:ind w:left="567"/>
      </w:pPr>
      <w:r>
        <w:rPr>
          <w:rFonts w:ascii="Consolas" w:hAnsi="Consolas"/>
          <w:color w:val="333333"/>
          <w:sz w:val="17"/>
        </w:rPr>
        <w:t>details = {</w:t>
        <w:br/>
        <w:t xml:space="preserve"> "null_rates": {col: pct for col in columns}, # 逐列空值率</w:t>
        <w:br/>
        <w:t xml:space="preserve"> "outlier_columns": ["col1", "col2"], # 存在异常值的列</w:t>
        <w:br/>
        <w:t xml:space="preserve"> "micro_polygon_pct": 0.02, # 微面多边形比例</w:t>
        <w:br/>
        <w:t xml:space="preserve"> "column_completeness": 0.85, # 列完整性比率</w:t>
        <w:br/>
        <w:t xml:space="preserve"> "total_columns": 15, # 总列数</w:t>
        <w:br/>
        <w:t xml:space="preserve"> "source_column_sum": 18, # 源列数之和</w:t>
        <w:br/>
        <w:t>}</w:t>
      </w:r>
    </w:p>
    <w:p>
      <w:pPr>
        <w:pStyle w:val="Heading3"/>
      </w:pPr>
      <w:r>
        <w:t>3.7 自动单位检测与转换</w:t>
      </w:r>
    </w:p>
    <w:p>
      <w:r>
        <w:t>在语义对齐阶段（Stage 3）新增了自动单位检测与转换功能，解决了同一属性因使用不同度量单位而导致数值不可比的问题。</w:t>
      </w:r>
    </w:p>
    <w:p>
      <w:pPr>
        <w:pStyle w:val="Heading3"/>
      </w:pPr>
      <w:r>
        <w:t>3.7.1 单位检测</w:t>
      </w:r>
    </w:p>
    <w:p>
      <w:r>
        <w:t>通过列名的后缀模式匹配识别度量单位：</w:t>
      </w:r>
    </w:p>
    <w:p>
      <w:pPr>
        <w:spacing w:before="120" w:after="120"/>
        <w:ind w:left="567"/>
      </w:pPr>
      <w:r>
        <w:rPr>
          <w:rFonts w:ascii="Consolas" w:hAnsi="Consolas"/>
          <w:color w:val="333333"/>
          <w:sz w:val="17"/>
        </w:rPr>
        <w:t>UNIT_PATTERNS = {</w:t>
        <w:br/>
        <w:t xml:space="preserve"> r"_(m2|sqm|平方米)$": "m2",</w:t>
        <w:br/>
        <w:t xml:space="preserve"> r"_(mu|亩)$": "mu",</w:t>
        <w:br/>
        <w:t xml:space="preserve"> r"_(ha|hectare|公顷)$": "ha",</w:t>
        <w:br/>
        <w:t xml:space="preserve"> r"_(km2|sqkm|平方公里)$": "km2",</w:t>
        <w:br/>
        <w:t xml:space="preserve"> r"_(m|meter|米)$": "m",</w:t>
        <w:br/>
        <w:t xml:space="preserve"> r"_(km|千米|公里)$": "km",</w:t>
        <w:br/>
        <w:t xml:space="preserve"> r"_(deg|degree|度)$": "deg",</w:t>
        <w:br/>
        <w:t>}</w:t>
      </w:r>
    </w:p>
    <w:p>
      <w:r>
        <w:t>`_detect_unit(column_name)` 函数返回 `(base_name, unit)` 元组。例如 `area_m2` → `("area", "m2")`，`slope_deg` → `("slope", "deg")`。</w:t>
      </w:r>
    </w:p>
    <w:p>
      <w:pPr>
        <w:pStyle w:val="Heading3"/>
      </w:pPr>
      <w:r>
        <w:t>3.7.2 单位转换</w:t>
      </w:r>
    </w:p>
    <w:p>
      <w:r>
        <w:t>当字段匹配的第三层（单位感知匹配）发现两列基名相同但单位不同时，自动应用转换因子：</w:t>
      </w:r>
    </w:p>
    <w:p>
      <w:pPr>
        <w:spacing w:before="120" w:after="120"/>
        <w:ind w:left="567"/>
      </w:pPr>
      <w:r>
        <w:rPr>
          <w:rFonts w:ascii="Consolas" w:hAnsi="Consolas"/>
          <w:color w:val="333333"/>
          <w:sz w:val="17"/>
        </w:rPr>
        <w:t>UNIT_CONVERSIONS = {</w:t>
        <w:br/>
        <w:t xml:space="preserve"> ("m2", "mu"): 1 / 666.67, # 平方米 → 亩</w:t>
        <w:br/>
        <w:t xml:space="preserve"> ("mu", "m2"): 666.67, # 亩 → 平方米</w:t>
        <w:br/>
        <w:t xml:space="preserve"> ("mu", "ha"): 1 / 15.0, # 亩 → 公顷</w:t>
        <w:br/>
        <w:t xml:space="preserve"> ("ha", "mu"): 15.0, # 公顷 → 亩</w:t>
        <w:br/>
        <w:t xml:space="preserve"> ("m2", "ha"): 1 / 10000.0, # 平方米 → 公顷</w:t>
        <w:br/>
        <w:t xml:space="preserve"> ("ha", "m2"): 10000.0, # 公顷 → 平方米</w:t>
        <w:br/>
        <w:t xml:space="preserve"> ("m", "km"): 1 / 1000.0, # 米 → 千米</w:t>
        <w:br/>
        <w:t xml:space="preserve"> ("km", "m"): 1000.0, # 千米 → 米</w:t>
        <w:br/>
        <w:t xml:space="preserve"> ("m2", "km2"): 1 / 1000000.0, # 平方米 → 平方千米</w:t>
        <w:br/>
        <w:t xml:space="preserve"> ("km2", "m2"): 1000000.0, # 平方千米 → 平方米</w:t>
        <w:br/>
        <w:t>}</w:t>
      </w:r>
    </w:p>
    <w:p>
      <w:r>
        <w:t>转换在 `align_sources()` 阶段自动执行，确保进入融合阶段的数据在数值上可直接比较。</w:t>
      </w:r>
    </w:p>
    <w:p>
      <w:pPr>
        <w:pStyle w:val="Heading3"/>
      </w:pPr>
      <w:r>
        <w:t>3.8 多源融合编排</w:t>
      </w:r>
    </w:p>
    <w:p>
      <w:r>
        <w:t>的融合执行器仅支持两个数据源的成对融合。引入了 `_orchestrate_multisource()` 函数，实现了 N &gt; 2 数据源的自动编排：</w:t>
      </w:r>
    </w:p>
    <w:p>
      <w:pPr>
        <w:spacing w:before="120" w:after="120"/>
        <w:ind w:left="567"/>
      </w:pPr>
      <w:r>
        <w:rPr>
          <w:rFonts w:ascii="Consolas" w:hAnsi="Consolas"/>
          <w:color w:val="333333"/>
          <w:sz w:val="17"/>
        </w:rPr>
        <w:t>算法:</w:t>
        <w:br/>
        <w:t>输入: aligned_data (N 个已对齐数据), sources (N 个源画像), params (策略参数)</w:t>
        <w:br/>
        <w:t>输出: (final_result, fusion_steps)</w:t>
        <w:br/>
        <w:br/>
        <w:t>1. 按数据类型优先级排序: vector → raster → tabular → point_cloud → stream</w:t>
        <w:br/>
        <w:t xml:space="preserve"> (确保矢量数据作为主表，其他模态逐步合入)</w:t>
        <w:br/>
        <w:br/>
        <w:t>2. 初始化:</w:t>
        <w:br/>
        <w:t xml:space="preserve"> current_result = sorted_data[0]</w:t>
        <w:br/>
        <w:t xml:space="preserve"> fusion_steps = []</w:t>
        <w:br/>
        <w:br/>
        <w:t>3. 逐步合并:</w:t>
        <w:br/>
        <w:t xml:space="preserve"> for i in range(1, N):</w:t>
        <w:br/>
        <w:t xml:space="preserve"> pair = [current_result, sorted_data[i]]</w:t>
        <w:br/>
        <w:t xml:space="preserve"> pair_sources = [sorted_sources[0], sorted_sources[i]]</w:t>
        <w:br/>
        <w:t xml:space="preserve"> strategy = _auto_select_strategy(pair, pair_sources)</w:t>
        <w:br/>
        <w:t xml:space="preserve"> current_result = _execute_strategy(strategy, pair, params)</w:t>
        <w:br/>
        <w:t xml:space="preserve"> fusion_steps.append({step: i, strategy, left_type, right_type})</w:t>
        <w:br/>
        <w:br/>
        <w:t>4. 返回 (current_result, fusion_steps)</w:t>
      </w:r>
    </w:p>
    <w:p>
      <w:r>
        <w:rPr>
          <w:b/>
        </w:rPr>
        <w:t>设计考量</w:t>
      </w:r>
      <w:r>
        <w:t>：</w:t>
      </w:r>
    </w:p>
    <w:p>
      <w:pPr>
        <w:pStyle w:val="ListBullet"/>
      </w:pPr>
      <w:r>
        <w:t>**类型优先级排序**保证矢量数据始终作为空间基座，避免因顺序不当导致几何信息丢失</w:t>
      </w:r>
    </w:p>
    <w:p>
      <w:pPr>
        <w:pStyle w:val="ListBullet"/>
      </w:pPr>
      <w:r>
        <w:t>**逐步合并**策略简单可靠，每步的中间结果均为有效数据集，便于调试和审计</w:t>
      </w:r>
    </w:p>
    <w:p>
      <w:pPr>
        <w:pStyle w:val="ListBullet"/>
      </w:pPr>
      <w:r>
        <w:t>**未来扩展**：可引入基于数据量级和空间重叠度的融合计划优化器，选择最优合并顺序</w:t>
      </w:r>
    </w:p>
    <w:p>
      <w:pPr>
        <w:pStyle w:val="Heading2"/>
      </w:pPr>
      <w:r>
        <w:t>4 测试与验证</w:t>
      </w:r>
    </w:p>
    <w:p>
      <w:pPr>
        <w:pStyle w:val="Heading3"/>
      </w:pPr>
      <w:r>
        <w:t>4.1 测试架构</w:t>
      </w:r>
    </w:p>
    <w:p>
      <w:r>
        <w:t>测试套件包含72个独立测试用例，组织为16个测试类：</w:t>
      </w:r>
    </w:p>
    <w:p>
      <w:r>
        <w:rPr>
          <w:b/>
          <w:sz w:val="21"/>
        </w:rPr>
        <w:t>表8：测试覆盖矩阵</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
              <w:rPr>
                <w:rFonts w:ascii="Times New Roman" w:hAnsi="Times New Roman"/>
                <w:b/>
                <w:sz w:val="18"/>
              </w:rPr>
              <w:t>测试类</w:t>
            </w:r>
          </w:p>
        </w:tc>
        <w:tc>
          <w:tcPr>
            <w:tcW w:type="dxa" w:w="2771"/>
          </w:tcPr>
          <w:p>
            <w:r/>
            <w:r>
              <w:rPr>
                <w:rFonts w:ascii="Times New Roman" w:hAnsi="Times New Roman"/>
                <w:b/>
                <w:sz w:val="18"/>
              </w:rPr>
              <w:t>测试内容</w:t>
            </w:r>
          </w:p>
        </w:tc>
        <w:tc>
          <w:tcPr>
            <w:tcW w:type="dxa" w:w="2771"/>
          </w:tcPr>
          <w:p>
            <w:r/>
            <w:r>
              <w:rPr>
                <w:rFonts w:ascii="Times New Roman" w:hAnsi="Times New Roman"/>
                <w:b/>
                <w:sz w:val="18"/>
              </w:rPr>
              <w:t>用例数</w:t>
            </w:r>
          </w:p>
        </w:tc>
      </w:tr>
      <w:tr>
        <w:tc>
          <w:tcPr>
            <w:tcW w:type="dxa" w:w="2771"/>
          </w:tcPr>
          <w:p>
            <w:r/>
            <w:r>
              <w:rPr>
                <w:rFonts w:ascii="Times New Roman" w:hAnsi="Times New Roman"/>
                <w:sz w:val="18"/>
              </w:rPr>
              <w:t>`TestFusionSource`</w:t>
            </w:r>
          </w:p>
        </w:tc>
        <w:tc>
          <w:tcPr>
            <w:tcW w:type="dxa" w:w="2771"/>
          </w:tcPr>
          <w:p>
            <w:r/>
            <w:r>
              <w:rPr>
                <w:rFonts w:ascii="Times New Roman" w:hAnsi="Times New Roman"/>
                <w:sz w:val="18"/>
              </w:rPr>
              <w:t>矢量/栅格/表格画像、数据类型检测</w:t>
            </w:r>
          </w:p>
        </w:tc>
        <w:tc>
          <w:tcPr>
            <w:tcW w:type="dxa" w:w="2771"/>
          </w:tcPr>
          <w:p>
            <w:r/>
            <w:r>
              <w:rPr>
                <w:rFonts w:ascii="Times New Roman" w:hAnsi="Times New Roman"/>
                <w:sz w:val="18"/>
              </w:rPr>
              <w:t>5</w:t>
            </w:r>
          </w:p>
        </w:tc>
      </w:tr>
      <w:tr>
        <w:tc>
          <w:tcPr>
            <w:tcW w:type="dxa" w:w="2771"/>
          </w:tcPr>
          <w:p>
            <w:r/>
            <w:r>
              <w:rPr>
                <w:rFonts w:ascii="Times New Roman" w:hAnsi="Times New Roman"/>
                <w:sz w:val="18"/>
              </w:rPr>
              <w:t>`TestCompatibilityAssessor`</w:t>
            </w:r>
          </w:p>
        </w:tc>
        <w:tc>
          <w:tcPr>
            <w:tcW w:type="dxa" w:w="2771"/>
          </w:tcPr>
          <w:p>
            <w:r/>
            <w:r>
              <w:rPr>
                <w:rFonts w:ascii="Times New Roman" w:hAnsi="Times New Roman"/>
                <w:sz w:val="18"/>
              </w:rPr>
              <w:t>CRS检查、空间重叠、字段匹配、策略推荐</w:t>
            </w:r>
          </w:p>
        </w:tc>
        <w:tc>
          <w:tcPr>
            <w:tcW w:type="dxa" w:w="2771"/>
          </w:tcPr>
          <w:p>
            <w:r/>
            <w:r>
              <w:rPr>
                <w:rFonts w:ascii="Times New Roman" w:hAnsi="Times New Roman"/>
                <w:sz w:val="18"/>
              </w:rPr>
              <w:t>7</w:t>
            </w:r>
          </w:p>
        </w:tc>
      </w:tr>
      <w:tr>
        <w:tc>
          <w:tcPr>
            <w:tcW w:type="dxa" w:w="2771"/>
          </w:tcPr>
          <w:p>
            <w:r/>
            <w:r>
              <w:rPr>
                <w:rFonts w:ascii="Times New Roman" w:hAnsi="Times New Roman"/>
                <w:sz w:val="18"/>
              </w:rPr>
              <w:t>`TestSemanticAligner`</w:t>
            </w:r>
          </w:p>
        </w:tc>
        <w:tc>
          <w:tcPr>
            <w:tcW w:type="dxa" w:w="2771"/>
          </w:tcPr>
          <w:p>
            <w:r/>
            <w:r>
              <w:rPr>
                <w:rFonts w:ascii="Times New Roman" w:hAnsi="Times New Roman"/>
                <w:sz w:val="18"/>
              </w:rPr>
              <w:t>CRS重投影、列冲突消解、类型对匹配</w:t>
            </w:r>
          </w:p>
        </w:tc>
        <w:tc>
          <w:tcPr>
            <w:tcW w:type="dxa" w:w="2771"/>
          </w:tcPr>
          <w:p>
            <w:r/>
            <w:r>
              <w:rPr>
                <w:rFonts w:ascii="Times New Roman" w:hAnsi="Times New Roman"/>
                <w:sz w:val="18"/>
              </w:rPr>
              <w:t>6</w:t>
            </w:r>
          </w:p>
        </w:tc>
      </w:tr>
      <w:tr>
        <w:tc>
          <w:tcPr>
            <w:tcW w:type="dxa" w:w="2771"/>
          </w:tcPr>
          <w:p>
            <w:r/>
            <w:r>
              <w:rPr>
                <w:rFonts w:ascii="Times New Roman" w:hAnsi="Times New Roman"/>
                <w:sz w:val="18"/>
              </w:rPr>
              <w:t>`TestFusionExecutor`</w:t>
            </w:r>
          </w:p>
        </w:tc>
        <w:tc>
          <w:tcPr>
            <w:tcW w:type="dxa" w:w="2771"/>
          </w:tcPr>
          <w:p>
            <w:r/>
            <w:r>
              <w:rPr>
                <w:rFonts w:ascii="Times New Roman" w:hAnsi="Times New Roman"/>
                <w:sz w:val="18"/>
              </w:rPr>
              <w:t>8种策略的执行正确性</w:t>
            </w:r>
          </w:p>
        </w:tc>
        <w:tc>
          <w:tcPr>
            <w:tcW w:type="dxa" w:w="2771"/>
          </w:tcPr>
          <w:p>
            <w:r/>
            <w:r>
              <w:rPr>
                <w:rFonts w:ascii="Times New Roman" w:hAnsi="Times New Roman"/>
                <w:sz w:val="18"/>
              </w:rPr>
              <w:t>8</w:t>
            </w:r>
          </w:p>
        </w:tc>
      </w:tr>
      <w:tr>
        <w:tc>
          <w:tcPr>
            <w:tcW w:type="dxa" w:w="2771"/>
          </w:tcPr>
          <w:p>
            <w:r/>
            <w:r>
              <w:rPr>
                <w:rFonts w:ascii="Times New Roman" w:hAnsi="Times New Roman"/>
                <w:sz w:val="18"/>
              </w:rPr>
              <w:t>`TestStrategyMatrix`</w:t>
            </w:r>
          </w:p>
        </w:tc>
        <w:tc>
          <w:tcPr>
            <w:tcW w:type="dxa" w:w="2771"/>
          </w:tcPr>
          <w:p>
            <w:r/>
            <w:r>
              <w:rPr>
                <w:rFonts w:ascii="Times New Roman" w:hAnsi="Times New Roman"/>
                <w:sz w:val="18"/>
              </w:rPr>
              <w:t>矩阵完整性、注册表一致性</w:t>
            </w:r>
          </w:p>
        </w:tc>
        <w:tc>
          <w:tcPr>
            <w:tcW w:type="dxa" w:w="2771"/>
          </w:tcPr>
          <w:p>
            <w:r/>
            <w:r>
              <w:rPr>
                <w:rFonts w:ascii="Times New Roman" w:hAnsi="Times New Roman"/>
                <w:sz w:val="18"/>
              </w:rPr>
              <w:t>3</w:t>
            </w:r>
          </w:p>
        </w:tc>
      </w:tr>
      <w:tr>
        <w:tc>
          <w:tcPr>
            <w:tcW w:type="dxa" w:w="2771"/>
          </w:tcPr>
          <w:p>
            <w:r/>
            <w:r>
              <w:rPr>
                <w:rFonts w:ascii="Times New Roman" w:hAnsi="Times New Roman"/>
                <w:sz w:val="18"/>
              </w:rPr>
              <w:t>`TestQualityValidator`</w:t>
            </w:r>
          </w:p>
        </w:tc>
        <w:tc>
          <w:tcPr>
            <w:tcW w:type="dxa" w:w="2771"/>
          </w:tcPr>
          <w:p>
            <w:r/>
            <w:r>
              <w:rPr>
                <w:rFonts w:ascii="Times New Roman" w:hAnsi="Times New Roman"/>
                <w:sz w:val="18"/>
              </w:rPr>
              <w:t>空值检测、空结果、几何有效性、完整性</w:t>
            </w:r>
          </w:p>
        </w:tc>
        <w:tc>
          <w:tcPr>
            <w:tcW w:type="dxa" w:w="2771"/>
          </w:tcPr>
          <w:p>
            <w:r/>
            <w:r>
              <w:rPr>
                <w:rFonts w:ascii="Times New Roman" w:hAnsi="Times New Roman"/>
                <w:sz w:val="18"/>
              </w:rPr>
              <w:t>5</w:t>
            </w:r>
          </w:p>
        </w:tc>
      </w:tr>
      <w:tr>
        <w:tc>
          <w:tcPr>
            <w:tcW w:type="dxa" w:w="2771"/>
          </w:tcPr>
          <w:p>
            <w:r/>
            <w:r>
              <w:rPr>
                <w:rFonts w:ascii="Times New Roman" w:hAnsi="Times New Roman"/>
                <w:sz w:val="18"/>
              </w:rPr>
              <w:t>`TestRecordOperation`</w:t>
            </w:r>
          </w:p>
        </w:tc>
        <w:tc>
          <w:tcPr>
            <w:tcW w:type="dxa" w:w="2771"/>
          </w:tcPr>
          <w:p>
            <w:r/>
            <w:r>
              <w:rPr>
                <w:rFonts w:ascii="Times New Roman" w:hAnsi="Times New Roman"/>
                <w:sz w:val="18"/>
              </w:rPr>
              <w:t>DB记录写入、无DB降级</w:t>
            </w:r>
          </w:p>
        </w:tc>
        <w:tc>
          <w:tcPr>
            <w:tcW w:type="dxa" w:w="2771"/>
          </w:tcPr>
          <w:p>
            <w:r/>
            <w:r>
              <w:rPr>
                <w:rFonts w:ascii="Times New Roman" w:hAnsi="Times New Roman"/>
                <w:sz w:val="18"/>
              </w:rPr>
              <w:t>2</w:t>
            </w:r>
          </w:p>
        </w:tc>
      </w:tr>
      <w:tr>
        <w:tc>
          <w:tcPr>
            <w:tcW w:type="dxa" w:w="2771"/>
          </w:tcPr>
          <w:p>
            <w:r/>
            <w:r>
              <w:rPr>
                <w:rFonts w:ascii="Times New Roman" w:hAnsi="Times New Roman"/>
                <w:sz w:val="18"/>
              </w:rPr>
              <w:t>`TestEnsureFusionTables`</w:t>
            </w:r>
          </w:p>
        </w:tc>
        <w:tc>
          <w:tcPr>
            <w:tcW w:type="dxa" w:w="2771"/>
          </w:tcPr>
          <w:p>
            <w:r/>
            <w:r>
              <w:rPr>
                <w:rFonts w:ascii="Times New Roman" w:hAnsi="Times New Roman"/>
                <w:sz w:val="18"/>
              </w:rPr>
              <w:t>表创建、无DB降级</w:t>
            </w:r>
          </w:p>
        </w:tc>
        <w:tc>
          <w:tcPr>
            <w:tcW w:type="dxa" w:w="2771"/>
          </w:tcPr>
          <w:p>
            <w:r/>
            <w:r>
              <w:rPr>
                <w:rFonts w:ascii="Times New Roman" w:hAnsi="Times New Roman"/>
                <w:sz w:val="18"/>
              </w:rPr>
              <w:t>2</w:t>
            </w:r>
          </w:p>
        </w:tc>
      </w:tr>
      <w:tr>
        <w:tc>
          <w:tcPr>
            <w:tcW w:type="dxa" w:w="2771"/>
          </w:tcPr>
          <w:p>
            <w:r/>
            <w:r>
              <w:rPr>
                <w:rFonts w:ascii="Times New Roman" w:hAnsi="Times New Roman"/>
                <w:sz w:val="18"/>
              </w:rPr>
              <w:t>`TestEndToEnd`</w:t>
            </w:r>
          </w:p>
        </w:tc>
        <w:tc>
          <w:tcPr>
            <w:tcW w:type="dxa" w:w="2771"/>
          </w:tcPr>
          <w:p>
            <w:r/>
            <w:r>
              <w:rPr>
                <w:rFonts w:ascii="Times New Roman" w:hAnsi="Times New Roman"/>
                <w:sz w:val="18"/>
              </w:rPr>
              <w:t>矢量+表格、矢量+矢量完整流程</w:t>
            </w:r>
          </w:p>
        </w:tc>
        <w:tc>
          <w:tcPr>
            <w:tcW w:type="dxa" w:w="2771"/>
          </w:tcPr>
          <w:p>
            <w:r/>
            <w:r>
              <w:rPr>
                <w:rFonts w:ascii="Times New Roman" w:hAnsi="Times New Roman"/>
                <w:sz w:val="18"/>
              </w:rPr>
              <w:t>2</w:t>
            </w:r>
          </w:p>
        </w:tc>
      </w:tr>
      <w:tr>
        <w:tc>
          <w:tcPr>
            <w:tcW w:type="dxa" w:w="2771"/>
          </w:tcPr>
          <w:p>
            <w:r/>
            <w:r>
              <w:rPr>
                <w:rFonts w:ascii="Times New Roman" w:hAnsi="Times New Roman"/>
                <w:sz w:val="18"/>
              </w:rPr>
              <w:t>`TestAutoDetectJoinColumn`</w:t>
            </w:r>
          </w:p>
        </w:tc>
        <w:tc>
          <w:tcPr>
            <w:tcW w:type="dxa" w:w="2771"/>
          </w:tcPr>
          <w:p>
            <w:r/>
            <w:r>
              <w:rPr>
                <w:rFonts w:ascii="Times New Roman" w:hAnsi="Times New Roman"/>
                <w:sz w:val="18"/>
              </w:rPr>
              <w:t>共同列检测、ID优先、无匹配异常</w:t>
            </w:r>
          </w:p>
        </w:tc>
        <w:tc>
          <w:tcPr>
            <w:tcW w:type="dxa" w:w="2771"/>
          </w:tcPr>
          <w:p>
            <w:r/>
            <w:r>
              <w:rPr>
                <w:rFonts w:ascii="Times New Roman" w:hAnsi="Times New Roman"/>
                <w:sz w:val="18"/>
              </w:rPr>
              <w:t>3</w:t>
            </w:r>
          </w:p>
        </w:tc>
      </w:tr>
      <w:tr>
        <w:tc>
          <w:tcPr>
            <w:tcW w:type="dxa" w:w="2771"/>
          </w:tcPr>
          <w:p>
            <w:r/>
            <w:r>
              <w:rPr>
                <w:rFonts w:ascii="Times New Roman" w:hAnsi="Times New Roman"/>
                <w:sz w:val="18"/>
              </w:rPr>
              <w:t>`TestFuzzyFieldMatching`</w:t>
            </w:r>
          </w:p>
        </w:tc>
        <w:tc>
          <w:tcPr>
            <w:tcW w:type="dxa" w:w="2771"/>
          </w:tcPr>
          <w:p>
            <w:r/>
            <w:r>
              <w:rPr>
                <w:rFonts w:ascii="Times New Roman" w:hAnsi="Times New Roman"/>
                <w:sz w:val="18"/>
              </w:rPr>
              <w:t>精确/等价组/模糊/短名/扩展组/去重</w:t>
            </w:r>
          </w:p>
        </w:tc>
        <w:tc>
          <w:tcPr>
            <w:tcW w:type="dxa" w:w="2771"/>
          </w:tcPr>
          <w:p>
            <w:r/>
            <w:r>
              <w:rPr>
                <w:rFonts w:ascii="Times New Roman" w:hAnsi="Times New Roman"/>
                <w:sz w:val="18"/>
              </w:rPr>
              <w:t>6</w:t>
            </w:r>
          </w:p>
        </w:tc>
      </w:tr>
      <w:tr>
        <w:tc>
          <w:tcPr>
            <w:tcW w:type="dxa" w:w="2771"/>
          </w:tcPr>
          <w:p>
            <w:r/>
            <w:r>
              <w:rPr>
                <w:rFonts w:ascii="Times New Roman" w:hAnsi="Times New Roman"/>
                <w:sz w:val="18"/>
              </w:rPr>
              <w:t>`TestUnitDetectionConversion`</w:t>
            </w:r>
          </w:p>
        </w:tc>
        <w:tc>
          <w:tcPr>
            <w:tcW w:type="dxa" w:w="2771"/>
          </w:tcPr>
          <w:p>
            <w:r/>
            <w:r>
              <w:rPr>
                <w:rFonts w:ascii="Times New Roman" w:hAnsi="Times New Roman"/>
                <w:sz w:val="18"/>
              </w:rPr>
              <w:t>单位检测/剥离/m²→亩/亩→ha/无因子</w:t>
            </w:r>
          </w:p>
        </w:tc>
        <w:tc>
          <w:tcPr>
            <w:tcW w:type="dxa" w:w="2771"/>
          </w:tcPr>
          <w:p>
            <w:r/>
            <w:r>
              <w:rPr>
                <w:rFonts w:ascii="Times New Roman" w:hAnsi="Times New Roman"/>
                <w:sz w:val="18"/>
              </w:rPr>
              <w:t>8</w:t>
            </w:r>
          </w:p>
        </w:tc>
      </w:tr>
      <w:tr>
        <w:tc>
          <w:tcPr>
            <w:tcW w:type="dxa" w:w="2771"/>
          </w:tcPr>
          <w:p>
            <w:r/>
            <w:r>
              <w:rPr>
                <w:rFonts w:ascii="Times New Roman" w:hAnsi="Times New Roman"/>
                <w:sz w:val="18"/>
              </w:rPr>
              <w:t>`TestDataAwareStrategyScoring`</w:t>
            </w:r>
          </w:p>
        </w:tc>
        <w:tc>
          <w:tcPr>
            <w:tcW w:type="dxa" w:w="2771"/>
          </w:tcPr>
          <w:p>
            <w:r/>
            <w:r>
              <w:rPr>
                <w:rFonts w:ascii="Times New Roman" w:hAnsi="Times New Roman"/>
                <w:sz w:val="18"/>
              </w:rPr>
              <w:t>nearest_join/spatial_join/zonal/point/单候选</w:t>
            </w:r>
          </w:p>
        </w:tc>
        <w:tc>
          <w:tcPr>
            <w:tcW w:type="dxa" w:w="2771"/>
          </w:tcPr>
          <w:p>
            <w:r/>
            <w:r>
              <w:rPr>
                <w:rFonts w:ascii="Times New Roman" w:hAnsi="Times New Roman"/>
                <w:sz w:val="18"/>
              </w:rPr>
              <w:t>5</w:t>
            </w:r>
          </w:p>
        </w:tc>
      </w:tr>
      <w:tr>
        <w:tc>
          <w:tcPr>
            <w:tcW w:type="dxa" w:w="2771"/>
          </w:tcPr>
          <w:p>
            <w:r/>
            <w:r>
              <w:rPr>
                <w:rFonts w:ascii="Times New Roman" w:hAnsi="Times New Roman"/>
                <w:sz w:val="18"/>
              </w:rPr>
              <w:t>`TestMultiSourceOrchestration`</w:t>
            </w:r>
          </w:p>
        </w:tc>
        <w:tc>
          <w:tcPr>
            <w:tcW w:type="dxa" w:w="2771"/>
          </w:tcPr>
          <w:p>
            <w:r/>
            <w:r>
              <w:rPr>
                <w:rFonts w:ascii="Times New Roman" w:hAnsi="Times New Roman"/>
                <w:sz w:val="18"/>
              </w:rPr>
              <w:t>三源矢量融合、2步编排</w:t>
            </w:r>
          </w:p>
        </w:tc>
        <w:tc>
          <w:tcPr>
            <w:tcW w:type="dxa" w:w="2771"/>
          </w:tcPr>
          <w:p>
            <w:r/>
            <w:r>
              <w:rPr>
                <w:rFonts w:ascii="Times New Roman" w:hAnsi="Times New Roman"/>
                <w:sz w:val="18"/>
              </w:rPr>
              <w:t>1</w:t>
            </w:r>
          </w:p>
        </w:tc>
      </w:tr>
      <w:tr>
        <w:tc>
          <w:tcPr>
            <w:tcW w:type="dxa" w:w="2771"/>
          </w:tcPr>
          <w:p>
            <w:r/>
            <w:r>
              <w:rPr>
                <w:rFonts w:ascii="Times New Roman" w:hAnsi="Times New Roman"/>
                <w:sz w:val="18"/>
              </w:rPr>
              <w:t>`TestEnhancedQualityValidation`</w:t>
            </w:r>
          </w:p>
        </w:tc>
        <w:tc>
          <w:tcPr>
            <w:tcW w:type="dxa" w:w="2771"/>
          </w:tcPr>
          <w:p>
            <w:r/>
            <w:r>
              <w:rPr>
                <w:rFonts w:ascii="Times New Roman" w:hAnsi="Times New Roman"/>
                <w:sz w:val="18"/>
              </w:rPr>
              <w:t>details字典/异常值/微面/列完整性/空结果</w:t>
            </w:r>
          </w:p>
        </w:tc>
        <w:tc>
          <w:tcPr>
            <w:tcW w:type="dxa" w:w="2771"/>
          </w:tcPr>
          <w:p>
            <w:r/>
            <w:r>
              <w:rPr>
                <w:rFonts w:ascii="Times New Roman" w:hAnsi="Times New Roman"/>
                <w:sz w:val="18"/>
              </w:rPr>
              <w:t>5</w:t>
            </w:r>
          </w:p>
        </w:tc>
      </w:tr>
      <w:tr>
        <w:tc>
          <w:tcPr>
            <w:tcW w:type="dxa" w:w="2771"/>
          </w:tcPr>
          <w:p>
            <w:r/>
            <w:r>
              <w:rPr>
                <w:rFonts w:ascii="Times New Roman" w:hAnsi="Times New Roman"/>
                <w:sz w:val="18"/>
              </w:rPr>
              <w:t>`TestUnitAwareAlignment`</w:t>
            </w:r>
          </w:p>
        </w:tc>
        <w:tc>
          <w:tcPr>
            <w:tcW w:type="dxa" w:w="2771"/>
          </w:tcPr>
          <w:p>
            <w:r/>
            <w:r>
              <w:rPr>
                <w:rFonts w:ascii="Times New Roman" w:hAnsi="Times New Roman"/>
                <w:sz w:val="18"/>
              </w:rPr>
              <w:t>单位感知匹配检测</w:t>
            </w:r>
          </w:p>
        </w:tc>
        <w:tc>
          <w:tcPr>
            <w:tcW w:type="dxa" w:w="2771"/>
          </w:tcPr>
          <w:p>
            <w:r/>
            <w:r>
              <w:rPr>
                <w:rFonts w:ascii="Times New Roman" w:hAnsi="Times New Roman"/>
                <w:sz w:val="18"/>
              </w:rPr>
              <w:t>1</w:t>
            </w:r>
          </w:p>
        </w:tc>
      </w:tr>
    </w:tbl>
    <w:p>
      <w:pPr>
        <w:pStyle w:val="Heading3"/>
      </w:pPr>
      <w:r>
        <w:t>4.2 测试策略</w:t>
      </w:r>
    </w:p>
    <w:p>
      <w:pPr>
        <w:pStyle w:val="ListBullet"/>
      </w:pPr>
      <w:r>
        <w:t>**Fixture生成**：测试使用临时目录中动态生成的小型数据集（3个多边形、3行CSV、10×10栅格），避免外部文件依赖</w:t>
      </w:r>
    </w:p>
    <w:p>
      <w:pPr>
        <w:pStyle w:val="ListBullet"/>
      </w:pPr>
      <w:r>
        <w:t>**Mock隔离**：数据库操作通过 `@patch("data_agent.gis_processors.get_user_upload_dir")` 和 `@patch("data_agent.fusion_engine.get_engine")` 隔离，确保测试不依赖数据库连接</w:t>
      </w:r>
    </w:p>
    <w:p>
      <w:pPr>
        <w:pStyle w:val="Heading3"/>
      </w:pPr>
      <w:r>
        <w:t>4.3 测试结果</w:t>
      </w:r>
    </w:p>
    <w:p>
      <w:pPr>
        <w:pStyle w:val="Heading2"/>
      </w:pPr>
      <w:r>
        <w:t>5 现有实现的不足与改进方向</w:t>
      </w:r>
    </w:p>
    <w:p>
      <w:pPr>
        <w:pStyle w:val="Heading3"/>
      </w:pPr>
      <w:r>
        <w:t>5.1 当前版本仍存在的局限性</w:t>
      </w:r>
    </w:p>
    <w:p>
      <w:pPr>
        <w:pStyle w:val="Heading3"/>
      </w:pPr>
      <w:r>
        <w:t>5.1.3 缺乏真实数据效果评估</w:t>
      </w:r>
    </w:p>
    <w:p>
      <w:pPr>
        <w:pStyle w:val="ListBullet"/>
      </w:pPr>
      <w:r>
        <w:t>所有测试使用合成小型数据集（3个多边形、3行CSV、10×10栅格），未在真实GIS场景中验证</w:t>
      </w:r>
    </w:p>
    <w:p>
      <w:pPr>
        <w:pStyle w:val="ListBullet"/>
      </w:pPr>
      <w:r>
        <w:t>缺乏与手动融合的效果对比实验</w:t>
      </w:r>
    </w:p>
    <w:p>
      <w:pPr>
        <w:pStyle w:val="ListBullet"/>
      </w:pPr>
      <w:r>
        <w:t>未与其他融合方案（如 FME、QGIS Processing）进行性能基准测试</w:t>
      </w:r>
    </w:p>
    <w:p>
      <w:r>
        <w:rPr>
          <w:b/>
        </w:rPr>
        <w:t xml:space="preserve"> 改善</w:t>
      </w:r>
      <w:r>
        <w:t>：新增 `TestRealDataIntegration` 测试类（4个测试），使用 `evals/fixtures/sample_parcels.geojson`（10个真实地块要素，含DLBM/SLOPE/AREA/TBMJ字段）进行画像、质量验证、自融合、字段匹配的集成测试。但仍需更大规模的真实数据集和效果对比实验。</w:t>
      </w:r>
    </w:p>
    <w:p>
      <w:pPr>
        <w:pStyle w:val="Heading3"/>
      </w:pPr>
      <w:r>
        <w:t>5.2 架构层面的改进路线</w:t>
      </w:r>
    </w:p>
    <w:p>
      <w:pPr>
        <w:pStyle w:val="Heading3"/>
      </w:pPr>
      <w:r>
        <w:t>5.2.1 近期改进— 已完成</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
              <w:rPr>
                <w:rFonts w:ascii="Times New Roman" w:hAnsi="Times New Roman"/>
                <w:b/>
                <w:sz w:val="18"/>
              </w:rPr>
              <w:t>改进项</w:t>
            </w:r>
          </w:p>
        </w:tc>
        <w:tc>
          <w:tcPr>
            <w:tcW w:type="dxa" w:w="2078"/>
          </w:tcPr>
          <w:p>
            <w:r/>
            <w:r>
              <w:rPr>
                <w:rFonts w:ascii="Times New Roman" w:hAnsi="Times New Roman"/>
                <w:b/>
                <w:sz w:val="18"/>
              </w:rPr>
              <w:t>优先级</w:t>
            </w:r>
          </w:p>
        </w:tc>
        <w:tc>
          <w:tcPr>
            <w:tcW w:type="dxa" w:w="2078"/>
          </w:tcPr>
          <w:p>
            <w:r/>
            <w:r>
              <w:rPr>
                <w:rFonts w:ascii="Times New Roman" w:hAnsi="Times New Roman"/>
                <w:b/>
                <w:sz w:val="18"/>
              </w:rPr>
              <w:t>状态</w:t>
            </w:r>
          </w:p>
        </w:tc>
        <w:tc>
          <w:tcPr>
            <w:tcW w:type="dxa" w:w="2078"/>
          </w:tcPr>
          <w:p>
            <w:r/>
            <w:r>
              <w:rPr>
                <w:rFonts w:ascii="Times New Roman" w:hAnsi="Times New Roman"/>
                <w:b/>
                <w:sz w:val="18"/>
              </w:rPr>
              <w:t>实现摘要</w:t>
            </w:r>
          </w:p>
        </w:tc>
      </w:tr>
      <w:tr>
        <w:tc>
          <w:tcPr>
            <w:tcW w:type="dxa" w:w="2078"/>
          </w:tcPr>
          <w:p>
            <w:r/>
            <w:r>
              <w:rPr>
                <w:rFonts w:ascii="Times New Roman" w:hAnsi="Times New Roman"/>
                <w:sz w:val="18"/>
              </w:rPr>
              <w:t>完善 height_assign 实现</w:t>
            </w:r>
          </w:p>
        </w:tc>
        <w:tc>
          <w:tcPr>
            <w:tcW w:type="dxa" w:w="2078"/>
          </w:tcPr>
          <w:p>
            <w:r/>
            <w:r>
              <w:rPr>
                <w:rFonts w:ascii="Times New Roman" w:hAnsi="Times New Roman"/>
                <w:sz w:val="18"/>
              </w:rPr>
              <w:t>P1</w:t>
            </w:r>
          </w:p>
        </w:tc>
        <w:tc>
          <w:tcPr>
            <w:tcW w:type="dxa" w:w="2078"/>
          </w:tcPr>
          <w:p>
            <w:r/>
            <w:r>
              <w:rPr>
                <w:rFonts w:ascii="Times New Roman" w:hAnsi="Times New Roman"/>
                <w:sz w:val="18"/>
              </w:rPr>
              <w:t>✅ 已完成</w:t>
            </w:r>
          </w:p>
        </w:tc>
        <w:tc>
          <w:tcPr>
            <w:tcW w:type="dxa" w:w="2078"/>
          </w:tcPr>
          <w:p>
            <w:r/>
            <w:r>
              <w:rPr>
                <w:rFonts w:ascii="Times New Roman" w:hAnsi="Times New Roman"/>
                <w:sz w:val="18"/>
              </w:rPr>
              <w:t>laspy点云读取 + 空间过滤 + 多统计量</w:t>
            </w:r>
          </w:p>
        </w:tc>
      </w:tr>
      <w:tr>
        <w:tc>
          <w:tcPr>
            <w:tcW w:type="dxa" w:w="2078"/>
          </w:tcPr>
          <w:p>
            <w:r/>
            <w:r>
              <w:rPr>
                <w:rFonts w:ascii="Times New Roman" w:hAnsi="Times New Roman"/>
                <w:sz w:val="18"/>
              </w:rPr>
              <w:t>完善 time_snapshot 实现</w:t>
            </w:r>
          </w:p>
        </w:tc>
        <w:tc>
          <w:tcPr>
            <w:tcW w:type="dxa" w:w="2078"/>
          </w:tcPr>
          <w:p>
            <w:r/>
            <w:r>
              <w:rPr>
                <w:rFonts w:ascii="Times New Roman" w:hAnsi="Times New Roman"/>
                <w:sz w:val="18"/>
              </w:rPr>
              <w:t>P1</w:t>
            </w:r>
          </w:p>
        </w:tc>
        <w:tc>
          <w:tcPr>
            <w:tcW w:type="dxa" w:w="2078"/>
          </w:tcPr>
          <w:p>
            <w:r/>
            <w:r>
              <w:rPr>
                <w:rFonts w:ascii="Times New Roman" w:hAnsi="Times New Roman"/>
                <w:sz w:val="18"/>
              </w:rPr>
              <w:t>✅ 已完成</w:t>
            </w:r>
          </w:p>
        </w:tc>
        <w:tc>
          <w:tcPr>
            <w:tcW w:type="dxa" w:w="2078"/>
          </w:tcPr>
          <w:p>
            <w:r/>
            <w:r>
              <w:rPr>
                <w:rFonts w:ascii="Times New Roman" w:hAnsi="Times New Roman"/>
                <w:sz w:val="18"/>
              </w:rPr>
              <w:t>CSV/JSON流数据 + 时间窗口 + 空间聚合</w:t>
            </w:r>
          </w:p>
        </w:tc>
      </w:tr>
      <w:tr>
        <w:tc>
          <w:tcPr>
            <w:tcW w:type="dxa" w:w="2078"/>
          </w:tcPr>
          <w:p>
            <w:r/>
            <w:r>
              <w:rPr>
                <w:rFonts w:ascii="Times New Roman" w:hAnsi="Times New Roman"/>
                <w:sz w:val="18"/>
              </w:rPr>
              <w:t>栅格自动重采样对齐</w:t>
            </w:r>
          </w:p>
        </w:tc>
        <w:tc>
          <w:tcPr>
            <w:tcW w:type="dxa" w:w="2078"/>
          </w:tcPr>
          <w:p>
            <w:r/>
            <w:r>
              <w:rPr>
                <w:rFonts w:ascii="Times New Roman" w:hAnsi="Times New Roman"/>
                <w:sz w:val="18"/>
              </w:rPr>
              <w:t>P1</w:t>
            </w:r>
          </w:p>
        </w:tc>
        <w:tc>
          <w:tcPr>
            <w:tcW w:type="dxa" w:w="2078"/>
          </w:tcPr>
          <w:p>
            <w:r/>
            <w:r>
              <w:rPr>
                <w:rFonts w:ascii="Times New Roman" w:hAnsi="Times New Roman"/>
                <w:sz w:val="18"/>
              </w:rPr>
              <w:t>✅ 已完成</w:t>
            </w:r>
          </w:p>
        </w:tc>
        <w:tc>
          <w:tcPr>
            <w:tcW w:type="dxa" w:w="2078"/>
          </w:tcPr>
          <w:p>
            <w:r/>
            <w:r>
              <w:rPr>
                <w:rFonts w:ascii="Times New Roman" w:hAnsi="Times New Roman"/>
                <w:sz w:val="18"/>
              </w:rPr>
              <w:t>rasterio.warp重投影 + 网格重采样</w:t>
            </w:r>
          </w:p>
        </w:tc>
      </w:tr>
      <w:tr>
        <w:tc>
          <w:tcPr>
            <w:tcW w:type="dxa" w:w="2078"/>
          </w:tcPr>
          <w:p>
            <w:r/>
            <w:r>
              <w:rPr>
                <w:rFonts w:ascii="Times New Roman" w:hAnsi="Times New Roman"/>
                <w:sz w:val="18"/>
              </w:rPr>
              <w:t>大栅格窗口采样</w:t>
            </w:r>
          </w:p>
        </w:tc>
        <w:tc>
          <w:tcPr>
            <w:tcW w:type="dxa" w:w="2078"/>
          </w:tcPr>
          <w:p>
            <w:r/>
            <w:r>
              <w:rPr>
                <w:rFonts w:ascii="Times New Roman" w:hAnsi="Times New Roman"/>
                <w:sz w:val="18"/>
              </w:rPr>
              <w:t>P1</w:t>
            </w:r>
          </w:p>
        </w:tc>
        <w:tc>
          <w:tcPr>
            <w:tcW w:type="dxa" w:w="2078"/>
          </w:tcPr>
          <w:p>
            <w:r/>
            <w:r>
              <w:rPr>
                <w:rFonts w:ascii="Times New Roman" w:hAnsi="Times New Roman"/>
                <w:sz w:val="18"/>
              </w:rPr>
              <w:t>✅ 已完成</w:t>
            </w:r>
          </w:p>
        </w:tc>
        <w:tc>
          <w:tcPr>
            <w:tcW w:type="dxa" w:w="2078"/>
          </w:tcPr>
          <w:p>
            <w:r/>
            <w:r>
              <w:rPr>
                <w:rFonts w:ascii="Times New Roman" w:hAnsi="Times New Roman"/>
                <w:sz w:val="18"/>
              </w:rPr>
              <w:t>中心1024²窗口采样</w:t>
            </w:r>
          </w:p>
        </w:tc>
      </w:tr>
      <w:tr>
        <w:tc>
          <w:tcPr>
            <w:tcW w:type="dxa" w:w="2078"/>
          </w:tcPr>
          <w:p>
            <w:r/>
            <w:r>
              <w:rPr>
                <w:rFonts w:ascii="Times New Roman" w:hAnsi="Times New Roman"/>
                <w:sz w:val="18"/>
              </w:rPr>
              <w:t>语义匹配增强</w:t>
            </w:r>
          </w:p>
        </w:tc>
        <w:tc>
          <w:tcPr>
            <w:tcW w:type="dxa" w:w="2078"/>
          </w:tcPr>
          <w:p>
            <w:r/>
            <w:r>
              <w:rPr>
                <w:rFonts w:ascii="Times New Roman" w:hAnsi="Times New Roman"/>
                <w:sz w:val="18"/>
              </w:rPr>
              <w:t>P1</w:t>
            </w:r>
          </w:p>
        </w:tc>
        <w:tc>
          <w:tcPr>
            <w:tcW w:type="dxa" w:w="2078"/>
          </w:tcPr>
          <w:p>
            <w:r/>
            <w:r>
              <w:rPr>
                <w:rFonts w:ascii="Times New Roman" w:hAnsi="Times New Roman"/>
                <w:sz w:val="18"/>
              </w:rPr>
              <w:t>✅ 已完成</w:t>
            </w:r>
          </w:p>
        </w:tc>
        <w:tc>
          <w:tcPr>
            <w:tcW w:type="dxa" w:w="2078"/>
          </w:tcPr>
          <w:p>
            <w:r/>
            <w:r>
              <w:rPr>
                <w:rFonts w:ascii="Times New Roman" w:hAnsi="Times New Roman"/>
                <w:sz w:val="18"/>
              </w:rPr>
              <w:t>目录等价组 + 分词相似度 + 类型兼容</w:t>
            </w:r>
          </w:p>
        </w:tc>
      </w:tr>
      <w:tr>
        <w:tc>
          <w:tcPr>
            <w:tcW w:type="dxa" w:w="2078"/>
          </w:tcPr>
          <w:p>
            <w:r/>
            <w:r>
              <w:rPr>
                <w:rFonts w:ascii="Times New Roman" w:hAnsi="Times New Roman"/>
                <w:sz w:val="18"/>
              </w:rPr>
              <w:t>质量验证增强</w:t>
            </w:r>
          </w:p>
        </w:tc>
        <w:tc>
          <w:tcPr>
            <w:tcW w:type="dxa" w:w="2078"/>
          </w:tcPr>
          <w:p>
            <w:r/>
            <w:r>
              <w:rPr>
                <w:rFonts w:ascii="Times New Roman" w:hAnsi="Times New Roman"/>
                <w:sz w:val="18"/>
              </w:rPr>
              <w:t>P1</w:t>
            </w:r>
          </w:p>
        </w:tc>
        <w:tc>
          <w:tcPr>
            <w:tcW w:type="dxa" w:w="2078"/>
          </w:tcPr>
          <w:p>
            <w:r/>
            <w:r>
              <w:rPr>
                <w:rFonts w:ascii="Times New Roman" w:hAnsi="Times New Roman"/>
                <w:sz w:val="18"/>
              </w:rPr>
              <w:t>✅ 已完成</w:t>
            </w:r>
          </w:p>
        </w:tc>
        <w:tc>
          <w:tcPr>
            <w:tcW w:type="dxa" w:w="2078"/>
          </w:tcPr>
          <w:p>
            <w:r/>
            <w:r>
              <w:rPr>
                <w:rFonts w:ascii="Times New Roman" w:hAnsi="Times New Roman"/>
                <w:sz w:val="18"/>
              </w:rPr>
              <w:t>CRS检查 + 拓扑验证 + KS检验</w:t>
            </w:r>
          </w:p>
        </w:tc>
      </w:tr>
      <w:tr>
        <w:tc>
          <w:tcPr>
            <w:tcW w:type="dxa" w:w="2078"/>
          </w:tcPr>
          <w:p>
            <w:r/>
            <w:r>
              <w:rPr>
                <w:rFonts w:ascii="Times New Roman" w:hAnsi="Times New Roman"/>
                <w:sz w:val="18"/>
              </w:rPr>
              <w:t>真实数据集成测试</w:t>
            </w:r>
          </w:p>
        </w:tc>
        <w:tc>
          <w:tcPr>
            <w:tcW w:type="dxa" w:w="2078"/>
          </w:tcPr>
          <w:p>
            <w:r/>
            <w:r>
              <w:rPr>
                <w:rFonts w:ascii="Times New Roman" w:hAnsi="Times New Roman"/>
                <w:sz w:val="18"/>
              </w:rPr>
              <w:t>P0</w:t>
            </w:r>
          </w:p>
        </w:tc>
        <w:tc>
          <w:tcPr>
            <w:tcW w:type="dxa" w:w="2078"/>
          </w:tcPr>
          <w:p>
            <w:r/>
            <w:r>
              <w:rPr>
                <w:rFonts w:ascii="Times New Roman" w:hAnsi="Times New Roman"/>
                <w:sz w:val="18"/>
              </w:rPr>
              <w:t>⚠️ 部分完成</w:t>
            </w:r>
          </w:p>
        </w:tc>
        <w:tc>
          <w:tcPr>
            <w:tcW w:type="dxa" w:w="2078"/>
          </w:tcPr>
          <w:p>
            <w:r/>
            <w:r>
              <w:rPr>
                <w:rFonts w:ascii="Times New Roman" w:hAnsi="Times New Roman"/>
                <w:sz w:val="18"/>
              </w:rPr>
              <w:t>sample_parcels.geojson 4项测试</w:t>
            </w:r>
          </w:p>
        </w:tc>
      </w:tr>
    </w:tbl>
    <w:p>
      <w:pPr>
        <w:pStyle w:val="Heading3"/>
      </w:pPr>
      <w:r>
        <w:t>5.2.2 中期改进</w:t>
      </w:r>
    </w:p>
    <w:p>
      <w:pPr>
        <w:pStyle w:val="ListBullet"/>
      </w:pPr>
      <w:r>
        <w:t>**LLM辅助策略选择**：将兼容性报告作为上下文传递给LLM，让LLM基于用户意图和数据特征选择最优策略</w:t>
      </w:r>
    </w:p>
    <w:p>
      <w:pPr>
        <w:pStyle w:val="ListBullet"/>
      </w:pPr>
      <w:r>
        <w:t>**增量融合**：支持对已融合数据集追加新数据源，而非每次全量重新融合</w:t>
      </w:r>
    </w:p>
    <w:p>
      <w:pPr>
        <w:pStyle w:val="ListBullet"/>
      </w:pPr>
      <w:r>
        <w:t>**分布式执行**：对于大规模数据集（&gt;1M行），将融合任务分发到 Dask/Spark 集群执行</w:t>
      </w:r>
    </w:p>
    <w:p>
      <w:pPr>
        <w:pStyle w:val="Heading3"/>
      </w:pPr>
      <w:r>
        <w:t>5.2.3 长期愿景</w:t>
      </w:r>
    </w:p>
    <w:p>
      <w:pPr>
        <w:pStyle w:val="ListBullet"/>
      </w:pPr>
      <w:r>
        <w:t>**自学习策略优化**：基于历史融合操作的成功/失败记录，训练策略推荐模型</w:t>
      </w:r>
    </w:p>
    <w:p>
      <w:pPr>
        <w:pStyle w:val="ListBullet"/>
      </w:pPr>
      <w:r>
        <w:t>**跨系统互操作**：通过 OGC API 标准实现与外部GIS系统的数据融合</w:t>
      </w:r>
    </w:p>
    <w:p>
      <w:pPr>
        <w:pStyle w:val="ListBullet"/>
      </w:pPr>
      <w:r>
        <w:t>**知识图谱驱动**：构建GIS领域知识图谱，替代硬编码的等价组，实现任意字段的语义推理</w:t>
      </w:r>
    </w:p>
    <w:p>
      <w:pPr>
        <w:pStyle w:val="Heading2"/>
      </w:pPr>
      <w:r>
        <w:t>6 增强：智能化融合</w:t>
      </w:r>
    </w:p>
    <w:p>
      <w:r>
        <w:t>在 基础上进一步增强了引擎的智能化水平，从四个维度提升融合引擎能力。</w:t>
      </w:r>
    </w:p>
    <w:p>
      <w:pPr>
        <w:pStyle w:val="Heading3"/>
      </w:pPr>
      <w:r>
        <w:t>6.1 向量嵌入语义匹配</w:t>
      </w:r>
    </w:p>
    <w:p>
      <w:r>
        <w:rPr>
          <w:b/>
        </w:rPr>
        <w:t>动机</w:t>
      </w:r>
      <w:r>
        <w:t>：现有四层匹配依赖硬编码的等价组和字符级模糊匹配，对于语义相近但拼写差异大的字段名（如 `population` vs `inhabitants`、`landuse_type` vs `DLBM`）匹配效果有限。</w:t>
      </w:r>
    </w:p>
    <w:p>
      <w:r>
        <w:rPr>
          <w:b/>
        </w:rPr>
        <w:t>方案</w:t>
      </w:r>
      <w:r>
        <w:t xml:space="preserve">：在 Tier 2（等价组）和 Tier 3（单位感知）之间插入 </w:t>
      </w:r>
      <w:r>
        <w:rPr>
          <w:b/>
        </w:rPr>
        <w:t>Tier 2.5 嵌入层</w:t>
      </w:r>
      <w:r>
        <w:t>，利用 Gemini `text-embedding-004` 模型将字段名映射到高维语义向量空间，通过余弦相似度计算语义距离。</w:t>
      </w:r>
    </w:p>
    <w:p>
      <w:r>
        <w:rPr>
          <w:b/>
        </w:rPr>
        <w:t>实现细节</w:t>
      </w:r>
      <w:r>
        <w:t>：</w:t>
      </w:r>
    </w:p>
    <w:p>
      <w:pPr>
        <w:pStyle w:val="ListBullet"/>
      </w:pPr>
      <w:r>
        <w:t>使用 `google.genai.Client().models.embed_content()` 批量获取字段名嵌入向量</w:t>
      </w:r>
    </w:p>
    <w:p>
      <w:pPr>
        <w:pStyle w:val="ListBullet"/>
      </w:pPr>
      <w:r>
        <w:t>模块级 `_embedding_cache` 字典避免重复 API 调用</w:t>
      </w:r>
    </w:p>
    <w:p>
      <w:pPr>
        <w:pStyle w:val="ListBullet"/>
      </w:pPr>
      <w:r>
        <w:t>余弦相似度阈值 ≥ 0.75，匹配置信度 0.78</w:t>
      </w:r>
    </w:p>
    <w:p>
      <w:pPr>
        <w:pStyle w:val="ListBullet"/>
      </w:pPr>
      <w:r>
        <w:t>匹配前检查字段类型兼容性（numeric↔numeric、string↔string）</w:t>
      </w:r>
    </w:p>
    <w:p>
      <w:pPr>
        <w:pStyle w:val="ListBullet"/>
      </w:pPr>
      <w:r>
        <w:t>API 失败时静默降级到 Tier 3/4，不影响现有流程</w:t>
      </w:r>
    </w:p>
    <w:p>
      <w:pPr>
        <w:pStyle w:val="ListBullet"/>
      </w:pPr>
      <w:r>
        <w:t>**默认关闭**，通过 `use_embedding=True` 显式启用，避免不必要的 API 开销</w:t>
      </w:r>
    </w:p>
    <w:p>
      <w:r>
        <w:rPr>
          <w:b/>
        </w:rPr>
        <w:t>设计权衡</w:t>
      </w:r>
      <w:r>
        <w:t>：选择 Gemini text-embedding-004 而非 sentence-transformers 的原因：</w:t>
      </w:r>
    </w:p>
    <w:p>
      <w:r>
        <w:t>1. sentence-transformers 引入 ~400MB 依赖（torch + transformers），不适合轻量部署</w:t>
      </w:r>
    </w:p>
    <w:p>
      <w:r>
        <w:t>2. 项目已依赖 google-genai，API 调用无额外安装成本</w:t>
      </w:r>
    </w:p>
    <w:p>
      <w:r>
        <w:t>3. 嵌入缓存机制减少了 API 调用频率</w:t>
      </w:r>
    </w:p>
    <w:p>
      <w:pPr>
        <w:pStyle w:val="Heading3"/>
      </w:pPr>
      <w:r>
        <w:t>6.2 LLM 增强策略路由</w:t>
      </w:r>
    </w:p>
    <w:p>
      <w:r>
        <w:rPr>
          <w:b/>
        </w:rPr>
        <w:t>动机</w:t>
      </w:r>
      <w:r>
        <w:t>：现有规则评分（IoU、几何类型、数据量比率）缺乏对用户分析意图的理解。例如，同一对数据源可能因"分析土地覆被变化"和"计算设施覆盖率"两种不同目的而需要不同的融合策略。</w:t>
      </w:r>
    </w:p>
    <w:p>
      <w:r>
        <w:rPr>
          <w:b/>
        </w:rPr>
        <w:t>方案</w:t>
      </w:r>
      <w:r>
        <w:t>：新增 `strategy="llm_auto"` 选项，调用 Gemini 2.0 Flash 进行策略推理。LLM 接收候选策略列表、数据源元信息和用户意图提示（`user_hint`），返回 JSON 格式的策略推荐与推理链。</w:t>
      </w:r>
    </w:p>
    <w:p>
      <w:r>
        <w:rPr>
          <w:b/>
        </w:rPr>
        <w:t>实现细节</w:t>
      </w:r>
      <w:r>
        <w:t>：</w:t>
      </w:r>
    </w:p>
    <w:p>
      <w:pPr>
        <w:pStyle w:val="ListBullet"/>
      </w:pPr>
      <w:r>
        <w:t>`_llm_select_strategy()` 构造结构化 prompt，包含：</w:t>
      </w:r>
    </w:p>
    <w:p>
      <w:r>
        <w:t>- 候选策略列表（来自 STRATEGY_MATRIX 粗筛）</w:t>
      </w:r>
    </w:p>
    <w:p>
      <w:r>
        <w:t>- 各数据源的类型、行数、列名</w:t>
      </w:r>
    </w:p>
    <w:p>
      <w:r>
        <w:t>- 用户提供的分析意图描述</w:t>
      </w:r>
    </w:p>
    <w:p>
      <w:pPr>
        <w:pStyle w:val="ListBullet"/>
      </w:pPr>
      <w:r>
        <w:t>LLM 返回 `{"strategy": "spatial_join", "reasoning": "..."}`</w:t>
      </w:r>
    </w:p>
    <w:p>
      <w:pPr>
        <w:pStyle w:val="ListBullet"/>
      </w:pPr>
      <w:r>
        <w:t>策略验证：LLM 推荐的策略必须在候选列表内，否则降级到规则评分</w:t>
      </w:r>
    </w:p>
    <w:p>
      <w:pPr>
        <w:pStyle w:val="ListBullet"/>
      </w:pPr>
      <w:r>
        <w:t>JSON 解析失败时降级到规则评分</w:t>
      </w:r>
    </w:p>
    <w:p>
      <w:pPr>
        <w:pStyle w:val="ListBullet"/>
      </w:pPr>
      <w:r>
        <w:t>推理结果记录到 `alignment_log` 中，供审计追踪</w:t>
      </w:r>
    </w:p>
    <w:p>
      <w:pPr>
        <w:pStyle w:val="ListBullet"/>
      </w:pPr>
      <w:r>
        <w:t>**非替代**：规则评分仍然是默认行为，LLM 仅在显式请求时介入</w:t>
      </w:r>
    </w:p>
    <w:p>
      <w:pPr>
        <w:pStyle w:val="Heading3"/>
      </w:pPr>
      <w:r>
        <w:t>6.3 地理知识图谱</w:t>
      </w:r>
    </w:p>
    <w:p>
      <w:r>
        <w:rPr>
          <w:b/>
        </w:rPr>
        <w:t>动机</w:t>
      </w:r>
      <w:r>
        <w:t>：传统融合引擎输出"宽表"（列合并），丢失了实体间的空间关系。例如，一个地块被道路分割为两部分，或一栋建筑包含在一个行政区内——这些关系在宽表中无法表达。</w:t>
      </w:r>
    </w:p>
    <w:p>
      <w:r>
        <w:rPr>
          <w:b/>
        </w:rPr>
        <w:t>方案</w:t>
      </w:r>
      <w:r>
        <w:t>：新建独立模块 `knowledge_graph.py`，使用 networkx 有向图 (DiGraph) 构建内存级空间实体关系图。支持 7 种实体类型（地块、建筑、道路、水体、行政区、植被、POI）和 5 种关系类型（包含、被包含、邻接、重叠、最近）。</w:t>
      </w:r>
    </w:p>
    <w:p>
      <w:r>
        <w:rPr>
          <w:b/>
        </w:rPr>
        <w:t>核心类</w:t>
      </w:r>
      <w:r>
        <w:t>：`GeoKnowledgeGraph`</w:t>
      </w:r>
    </w:p>
    <w:p>
      <w:pPr>
        <w:pStyle w:val="ListBullet"/>
      </w:pPr>
      <w:r>
        <w:t>`build_from_geodataframe()`：GeoDataFrame 行 → 图节点，自动推断实体类型</w:t>
      </w:r>
    </w:p>
    <w:p>
      <w:pPr>
        <w:pStyle w:val="ListBullet"/>
      </w:pPr>
      <w:r>
        <w:t>`merge_layer()`：增量添加图层，检测跨层空间关系</w:t>
      </w:r>
    </w:p>
    <w:p>
      <w:pPr>
        <w:pStyle w:val="ListBullet"/>
      </w:pPr>
      <w:r>
        <w:t>`query_neighbors(depth=N)`：N 跳邻居查询</w:t>
      </w:r>
    </w:p>
    <w:p>
      <w:pPr>
        <w:pStyle w:val="ListBullet"/>
      </w:pPr>
      <w:r>
        <w:t>`query_path(source, target)`：最短路径查询</w:t>
      </w:r>
    </w:p>
    <w:p>
      <w:pPr>
        <w:pStyle w:val="ListBullet"/>
      </w:pPr>
      <w:r>
        <w:t>`query_by_type(entity_type)`：按实体类型筛选</w:t>
      </w:r>
    </w:p>
    <w:p>
      <w:pPr>
        <w:pStyle w:val="ListBullet"/>
      </w:pPr>
      <w:r>
        <w:t>`export_to_json()`：`nx.node_link_data()` 标准格式导出</w:t>
      </w:r>
    </w:p>
    <w:p>
      <w:pPr>
        <w:pStyle w:val="ListBullet"/>
      </w:pPr>
      <w:r>
        <w:t>`_detect_adjacency()`：STRtree 空间索引加速邻接关系检测</w:t>
      </w:r>
    </w:p>
    <w:p>
      <w:pPr>
        <w:pStyle w:val="ListBullet"/>
      </w:pPr>
      <w:r>
        <w:t>`_detect_containment()`：contains/within 几何关系检测</w:t>
      </w:r>
    </w:p>
    <w:p>
      <w:r>
        <w:rPr>
          <w:b/>
        </w:rPr>
        <w:t>性能保护</w:t>
      </w:r>
      <w:r>
        <w:t>：`_MAX_SPATIAL_PAIRS = 1000`，避免大数据集的 O(n²) 组合爆炸。</w:t>
      </w:r>
    </w:p>
    <w:p>
      <w:pPr>
        <w:pStyle w:val="Heading3"/>
      </w:pPr>
      <w:r>
        <w:t>6.4 分布式/核外计算</w:t>
      </w:r>
    </w:p>
    <w:p>
      <w:r>
        <w:rPr>
          <w:b/>
        </w:rPr>
        <w:t>动机</w:t>
      </w:r>
      <w:r>
        <w:t>：大数据集（&gt;50万行或 &gt;500MB）在内存中完整加载会导致 OOM。</w:t>
      </w:r>
    </w:p>
    <w:p>
      <w:r>
        <w:rPr>
          <w:b/>
        </w:rPr>
        <w:t>方案</w:t>
      </w:r>
      <w:r>
        <w:t>：利用项目已有的 dask 和 fiona 库，实现透明的分块读取和处理。</w:t>
      </w:r>
    </w:p>
    <w:p>
      <w:r>
        <w:rPr>
          <w:b/>
        </w:rPr>
        <w:t>实现细节</w:t>
      </w:r>
      <w:r>
        <w:t>：</w:t>
      </w:r>
    </w:p>
    <w:p>
      <w:pPr>
        <w:pStyle w:val="ListBullet"/>
      </w:pPr>
      <w:r>
        <w:t>`_is_large_dataset(path, row_hint)`：通过文件大小（500MB）和行数（500K）双重阈值检测</w:t>
      </w:r>
    </w:p>
    <w:p>
      <w:pPr>
        <w:pStyle w:val="ListBullet"/>
      </w:pPr>
      <w:r>
        <w:t>`_read_vector_chunked(path, chunk_size=100K)`：fiona 分块读取矢量文件</w:t>
      </w:r>
    </w:p>
    <w:p>
      <w:pPr>
        <w:pStyle w:val="ListBullet"/>
      </w:pPr>
      <w:r>
        <w:t>`_read_tabular_lazy(path)`：dask.dataframe 延迟计算大 CSV 文件</w:t>
      </w:r>
    </w:p>
    <w:p>
      <w:pPr>
        <w:pStyle w:val="ListBullet"/>
      </w:pPr>
      <w:r>
        <w:t>`_fuse_large_datasets_spatial(gdf_left, gdf_right, chunk_size=50K)`：分块执行 spatial_join</w:t>
      </w:r>
    </w:p>
    <w:p>
      <w:pPr>
        <w:pStyle w:val="ListBullet"/>
      </w:pPr>
      <w:r>
        <w:t>**透明性**：修改 `_profile_vector()`、`_profile_tabular()`、`align_sources()`、`_strategy_spatial_join()` 使用新的读取函数，对调用方无感知</w:t>
      </w:r>
    </w:p>
    <w:p>
      <w:pPr>
        <w:pStyle w:val="ListBullet"/>
      </w:pPr>
      <w:r>
        <w:t>小文件行为完全不变，仅大文件自动切换到分块模式</w:t>
      </w:r>
    </w:p>
    <w:p>
      <w:pPr>
        <w:pStyle w:val="Heading2"/>
      </w:pPr>
      <w:r>
        <w:t>6.5 实验评估与量化指标</w:t>
      </w:r>
    </w:p>
    <w:p>
      <w:r>
        <w:t>为系统性验证 MMFE 各模块的能力，我们设计了包含 9 项核心指标的基准测试套件（`benchmark_fusion.py`），在合成数据上运行真实引擎函数，产出可量化的技术指标。</w:t>
      </w:r>
    </w:p>
    <w:p>
      <w:pPr>
        <w:pStyle w:val="Heading3"/>
      </w:pPr>
      <w:r>
        <w:t>6.5.1 语义匹配准确率</w:t>
      </w:r>
    </w:p>
    <w:p>
      <w:r>
        <w:t>基于 50 对字段名 ground truth（含精确匹配、等价组、单位感知、模糊匹配及负例），测量 `_find_field_matches()` 的精确率/召回率/F1：</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r/>
            <w:r>
              <w:rPr>
                <w:rFonts w:ascii="Times New Roman" w:hAnsi="Times New Roman"/>
                <w:b/>
                <w:sz w:val="18"/>
              </w:rPr>
              <w:t>匹配层级</w:t>
            </w:r>
          </w:p>
        </w:tc>
        <w:tc>
          <w:tcPr>
            <w:tcW w:type="dxa" w:w="1662"/>
          </w:tcPr>
          <w:p>
            <w:r/>
            <w:r>
              <w:rPr>
                <w:rFonts w:ascii="Times New Roman" w:hAnsi="Times New Roman"/>
                <w:b/>
                <w:sz w:val="18"/>
              </w:rPr>
              <w:t>测试对数</w:t>
            </w:r>
          </w:p>
        </w:tc>
        <w:tc>
          <w:tcPr>
            <w:tcW w:type="dxa" w:w="1662"/>
          </w:tcPr>
          <w:p>
            <w:r/>
            <w:r>
              <w:rPr>
                <w:rFonts w:ascii="Times New Roman" w:hAnsi="Times New Roman"/>
                <w:b/>
                <w:sz w:val="18"/>
              </w:rPr>
              <w:t>Precision</w:t>
            </w:r>
          </w:p>
        </w:tc>
        <w:tc>
          <w:tcPr>
            <w:tcW w:type="dxa" w:w="1662"/>
          </w:tcPr>
          <w:p>
            <w:r/>
            <w:r>
              <w:rPr>
                <w:rFonts w:ascii="Times New Roman" w:hAnsi="Times New Roman"/>
                <w:b/>
                <w:sz w:val="18"/>
              </w:rPr>
              <w:t>Recall</w:t>
            </w:r>
          </w:p>
        </w:tc>
        <w:tc>
          <w:tcPr>
            <w:tcW w:type="dxa" w:w="1662"/>
          </w:tcPr>
          <w:p>
            <w:r/>
            <w:r>
              <w:rPr>
                <w:rFonts w:ascii="Times New Roman" w:hAnsi="Times New Roman"/>
                <w:b/>
                <w:sz w:val="18"/>
              </w:rPr>
              <w:t>F1</w:t>
            </w:r>
          </w:p>
        </w:tc>
      </w:tr>
      <w:tr>
        <w:tc>
          <w:tcPr>
            <w:tcW w:type="dxa" w:w="1662"/>
          </w:tcPr>
          <w:p>
            <w:r/>
            <w:r>
              <w:rPr>
                <w:rFonts w:ascii="Times New Roman" w:hAnsi="Times New Roman"/>
                <w:sz w:val="18"/>
              </w:rPr>
              <w:t>Tier 1 精确匹配</w:t>
            </w:r>
          </w:p>
        </w:tc>
        <w:tc>
          <w:tcPr>
            <w:tcW w:type="dxa" w:w="1662"/>
          </w:tcPr>
          <w:p>
            <w:r/>
            <w:r>
              <w:rPr>
                <w:rFonts w:ascii="Times New Roman" w:hAnsi="Times New Roman"/>
                <w:sz w:val="18"/>
              </w:rPr>
              <w:t>8</w:t>
            </w:r>
          </w:p>
        </w:tc>
        <w:tc>
          <w:tcPr>
            <w:tcW w:type="dxa" w:w="1662"/>
          </w:tcPr>
          <w:p>
            <w:r/>
            <w:r>
              <w:rPr>
                <w:rFonts w:ascii="Times New Roman" w:hAnsi="Times New Roman"/>
                <w:sz w:val="18"/>
              </w:rPr>
              <w:t>1.00</w:t>
            </w:r>
          </w:p>
        </w:tc>
        <w:tc>
          <w:tcPr>
            <w:tcW w:type="dxa" w:w="1662"/>
          </w:tcPr>
          <w:p>
            <w:r/>
            <w:r>
              <w:rPr>
                <w:rFonts w:ascii="Times New Roman" w:hAnsi="Times New Roman"/>
                <w:sz w:val="18"/>
              </w:rPr>
              <w:t>1.00</w:t>
            </w:r>
          </w:p>
        </w:tc>
        <w:tc>
          <w:tcPr>
            <w:tcW w:type="dxa" w:w="1662"/>
          </w:tcPr>
          <w:p>
            <w:r/>
            <w:r>
              <w:rPr>
                <w:rFonts w:ascii="Times New Roman" w:hAnsi="Times New Roman"/>
                <w:sz w:val="18"/>
              </w:rPr>
              <w:t>1.00</w:t>
            </w:r>
          </w:p>
        </w:tc>
      </w:tr>
      <w:tr>
        <w:tc>
          <w:tcPr>
            <w:tcW w:type="dxa" w:w="1662"/>
          </w:tcPr>
          <w:p>
            <w:r/>
            <w:r>
              <w:rPr>
                <w:rFonts w:ascii="Times New Roman" w:hAnsi="Times New Roman"/>
                <w:sz w:val="18"/>
              </w:rPr>
              <w:t>Tier 2 等价组</w:t>
            </w:r>
          </w:p>
        </w:tc>
        <w:tc>
          <w:tcPr>
            <w:tcW w:type="dxa" w:w="1662"/>
          </w:tcPr>
          <w:p>
            <w:r/>
            <w:r>
              <w:rPr>
                <w:rFonts w:ascii="Times New Roman" w:hAnsi="Times New Roman"/>
                <w:sz w:val="18"/>
              </w:rPr>
              <w:t>12</w:t>
            </w:r>
          </w:p>
        </w:tc>
        <w:tc>
          <w:tcPr>
            <w:tcW w:type="dxa" w:w="1662"/>
          </w:tcPr>
          <w:p>
            <w:r/>
            <w:r>
              <w:rPr>
                <w:rFonts w:ascii="Times New Roman" w:hAnsi="Times New Roman"/>
                <w:sz w:val="18"/>
              </w:rPr>
              <w:t>1.00</w:t>
            </w:r>
          </w:p>
        </w:tc>
        <w:tc>
          <w:tcPr>
            <w:tcW w:type="dxa" w:w="1662"/>
          </w:tcPr>
          <w:p>
            <w:r/>
            <w:r>
              <w:rPr>
                <w:rFonts w:ascii="Times New Roman" w:hAnsi="Times New Roman"/>
                <w:sz w:val="18"/>
              </w:rPr>
              <w:t>1.00</w:t>
            </w:r>
          </w:p>
        </w:tc>
        <w:tc>
          <w:tcPr>
            <w:tcW w:type="dxa" w:w="1662"/>
          </w:tcPr>
          <w:p>
            <w:r/>
            <w:r>
              <w:rPr>
                <w:rFonts w:ascii="Times New Roman" w:hAnsi="Times New Roman"/>
                <w:sz w:val="18"/>
              </w:rPr>
              <w:t>1.00</w:t>
            </w:r>
          </w:p>
        </w:tc>
      </w:tr>
      <w:tr>
        <w:tc>
          <w:tcPr>
            <w:tcW w:type="dxa" w:w="1662"/>
          </w:tcPr>
          <w:p>
            <w:r/>
            <w:r>
              <w:rPr>
                <w:rFonts w:ascii="Times New Roman" w:hAnsi="Times New Roman"/>
                <w:sz w:val="18"/>
              </w:rPr>
              <w:t>Tier 3 单位感知</w:t>
            </w:r>
          </w:p>
        </w:tc>
        <w:tc>
          <w:tcPr>
            <w:tcW w:type="dxa" w:w="1662"/>
          </w:tcPr>
          <w:p>
            <w:r/>
            <w:r>
              <w:rPr>
                <w:rFonts w:ascii="Times New Roman" w:hAnsi="Times New Roman"/>
                <w:sz w:val="18"/>
              </w:rPr>
              <w:t>10</w:t>
            </w:r>
          </w:p>
        </w:tc>
        <w:tc>
          <w:tcPr>
            <w:tcW w:type="dxa" w:w="1662"/>
          </w:tcPr>
          <w:p>
            <w:r/>
            <w:r>
              <w:rPr>
                <w:rFonts w:ascii="Times New Roman" w:hAnsi="Times New Roman"/>
                <w:sz w:val="18"/>
              </w:rPr>
              <w:t>1.00</w:t>
            </w:r>
          </w:p>
        </w:tc>
        <w:tc>
          <w:tcPr>
            <w:tcW w:type="dxa" w:w="1662"/>
          </w:tcPr>
          <w:p>
            <w:r/>
            <w:r>
              <w:rPr>
                <w:rFonts w:ascii="Times New Roman" w:hAnsi="Times New Roman"/>
                <w:sz w:val="18"/>
              </w:rPr>
              <w:t>0.80</w:t>
            </w:r>
          </w:p>
        </w:tc>
        <w:tc>
          <w:tcPr>
            <w:tcW w:type="dxa" w:w="1662"/>
          </w:tcPr>
          <w:p>
            <w:r/>
            <w:r>
              <w:rPr>
                <w:rFonts w:ascii="Times New Roman" w:hAnsi="Times New Roman"/>
                <w:sz w:val="18"/>
              </w:rPr>
              <w:t>0.89</w:t>
            </w:r>
          </w:p>
        </w:tc>
      </w:tr>
      <w:tr>
        <w:tc>
          <w:tcPr>
            <w:tcW w:type="dxa" w:w="1662"/>
          </w:tcPr>
          <w:p>
            <w:r/>
            <w:r>
              <w:rPr>
                <w:rFonts w:ascii="Times New Roman" w:hAnsi="Times New Roman"/>
                <w:sz w:val="18"/>
              </w:rPr>
              <w:t>Tier 4 模糊匹配</w:t>
            </w:r>
          </w:p>
        </w:tc>
        <w:tc>
          <w:tcPr>
            <w:tcW w:type="dxa" w:w="1662"/>
          </w:tcPr>
          <w:p>
            <w:r/>
            <w:r>
              <w:rPr>
                <w:rFonts w:ascii="Times New Roman" w:hAnsi="Times New Roman"/>
                <w:sz w:val="18"/>
              </w:rPr>
              <w:t>12</w:t>
            </w:r>
          </w:p>
        </w:tc>
        <w:tc>
          <w:tcPr>
            <w:tcW w:type="dxa" w:w="1662"/>
          </w:tcPr>
          <w:p>
            <w:r/>
            <w:r>
              <w:rPr>
                <w:rFonts w:ascii="Times New Roman" w:hAnsi="Times New Roman"/>
                <w:sz w:val="18"/>
              </w:rPr>
              <w:t>1.00</w:t>
            </w:r>
          </w:p>
        </w:tc>
        <w:tc>
          <w:tcPr>
            <w:tcW w:type="dxa" w:w="1662"/>
          </w:tcPr>
          <w:p>
            <w:r/>
            <w:r>
              <w:rPr>
                <w:rFonts w:ascii="Times New Roman" w:hAnsi="Times New Roman"/>
                <w:sz w:val="18"/>
              </w:rPr>
              <w:t>1.00</w:t>
            </w:r>
          </w:p>
        </w:tc>
        <w:tc>
          <w:tcPr>
            <w:tcW w:type="dxa" w:w="1662"/>
          </w:tcPr>
          <w:p>
            <w:r/>
            <w:r>
              <w:rPr>
                <w:rFonts w:ascii="Times New Roman" w:hAnsi="Times New Roman"/>
                <w:sz w:val="18"/>
              </w:rPr>
              <w:t>1.00</w:t>
            </w:r>
          </w:p>
        </w:tc>
      </w:tr>
      <w:tr>
        <w:tc>
          <w:tcPr>
            <w:tcW w:type="dxa" w:w="1662"/>
          </w:tcPr>
          <w:p>
            <w:r/>
            <w:r>
              <w:rPr>
                <w:rFonts w:ascii="Times New Roman" w:hAnsi="Times New Roman"/>
                <w:sz w:val="18"/>
              </w:rPr>
              <w:t>负例（不应匹配）</w:t>
            </w:r>
          </w:p>
        </w:tc>
        <w:tc>
          <w:tcPr>
            <w:tcW w:type="dxa" w:w="1662"/>
          </w:tcPr>
          <w:p>
            <w:r/>
            <w:r>
              <w:rPr>
                <w:rFonts w:ascii="Times New Roman" w:hAnsi="Times New Roman"/>
                <w:sz w:val="18"/>
              </w:rPr>
              <w:t>8</w:t>
            </w:r>
          </w:p>
        </w:tc>
        <w:tc>
          <w:tcPr>
            <w:tcW w:type="dxa" w:w="1662"/>
          </w:tcPr>
          <w:p>
            <w:r/>
            <w:r>
              <w:rPr>
                <w:rFonts w:ascii="Times New Roman" w:hAnsi="Times New Roman"/>
                <w:sz w:val="18"/>
              </w:rPr>
              <w:t>1.00</w:t>
            </w:r>
          </w:p>
        </w:tc>
        <w:tc>
          <w:tcPr>
            <w:tcW w:type="dxa" w:w="1662"/>
          </w:tcPr>
          <w:p>
            <w:r/>
            <w:r>
              <w:rPr>
                <w:rFonts w:ascii="Times New Roman" w:hAnsi="Times New Roman"/>
                <w:sz w:val="18"/>
              </w:rPr>
              <w:t>—</w:t>
            </w:r>
          </w:p>
        </w:tc>
        <w:tc>
          <w:tcPr>
            <w:tcW w:type="dxa" w:w="1662"/>
          </w:tcPr>
          <w:p>
            <w:r/>
            <w:r>
              <w:rPr>
                <w:rFonts w:ascii="Times New Roman" w:hAnsi="Times New Roman"/>
                <w:sz w:val="18"/>
              </w:rPr>
              <w:t>—</w:t>
            </w:r>
          </w:p>
        </w:tc>
      </w:tr>
      <w:tr>
        <w:tc>
          <w:tcPr>
            <w:tcW w:type="dxa" w:w="1662"/>
          </w:tcPr>
          <w:p>
            <w:r/>
            <w:r>
              <w:rPr>
                <w:rFonts w:ascii="Times New Roman" w:hAnsi="Times New Roman"/>
                <w:sz w:val="18"/>
              </w:rPr>
              <w:t>**总体**</w:t>
            </w:r>
          </w:p>
        </w:tc>
        <w:tc>
          <w:tcPr>
            <w:tcW w:type="dxa" w:w="1662"/>
          </w:tcPr>
          <w:p>
            <w:r/>
            <w:r>
              <w:rPr>
                <w:rFonts w:ascii="Times New Roman" w:hAnsi="Times New Roman"/>
                <w:sz w:val="18"/>
              </w:rPr>
              <w:t>**50**</w:t>
            </w:r>
          </w:p>
        </w:tc>
        <w:tc>
          <w:tcPr>
            <w:tcW w:type="dxa" w:w="1662"/>
          </w:tcPr>
          <w:p>
            <w:r/>
            <w:r>
              <w:rPr>
                <w:rFonts w:ascii="Times New Roman" w:hAnsi="Times New Roman"/>
                <w:sz w:val="18"/>
              </w:rPr>
              <w:t>**1.00**</w:t>
            </w:r>
          </w:p>
        </w:tc>
        <w:tc>
          <w:tcPr>
            <w:tcW w:type="dxa" w:w="1662"/>
          </w:tcPr>
          <w:p>
            <w:r/>
            <w:r>
              <w:rPr>
                <w:rFonts w:ascii="Times New Roman" w:hAnsi="Times New Roman"/>
                <w:sz w:val="18"/>
              </w:rPr>
              <w:t>**0.95**</w:t>
            </w:r>
          </w:p>
        </w:tc>
        <w:tc>
          <w:tcPr>
            <w:tcW w:type="dxa" w:w="1662"/>
          </w:tcPr>
          <w:p>
            <w:r/>
            <w:r>
              <w:rPr>
                <w:rFonts w:ascii="Times New Roman" w:hAnsi="Times New Roman"/>
                <w:sz w:val="18"/>
              </w:rPr>
              <w:t>**0.98**</w:t>
            </w:r>
          </w:p>
        </w:tc>
      </w:tr>
    </w:tbl>
    <w:p>
      <w:pPr>
        <w:pStyle w:val="Heading3"/>
      </w:pPr>
      <w:r>
        <w:t>6.5.2 策略推荐准确率</w:t>
      </w:r>
    </w:p>
    <w:p>
      <w:r>
        <w:t>构造 30 个数据对场景（覆盖矢量×矢量、矢量×栅格、矢量×表格、栅格×栅格、跨模态特殊），验证 `_auto_select_strategy()` 的推荐准确率：</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
              <w:rPr>
                <w:rFonts w:ascii="Times New Roman" w:hAnsi="Times New Roman"/>
                <w:b/>
                <w:sz w:val="18"/>
              </w:rPr>
              <w:t>场景类别</w:t>
            </w:r>
          </w:p>
        </w:tc>
        <w:tc>
          <w:tcPr>
            <w:tcW w:type="dxa" w:w="2771"/>
          </w:tcPr>
          <w:p>
            <w:r/>
            <w:r>
              <w:rPr>
                <w:rFonts w:ascii="Times New Roman" w:hAnsi="Times New Roman"/>
                <w:b/>
                <w:sz w:val="18"/>
              </w:rPr>
              <w:t>数量</w:t>
            </w:r>
          </w:p>
        </w:tc>
        <w:tc>
          <w:tcPr>
            <w:tcW w:type="dxa" w:w="2771"/>
          </w:tcPr>
          <w:p>
            <w:r/>
            <w:r>
              <w:rPr>
                <w:rFonts w:ascii="Times New Roman" w:hAnsi="Times New Roman"/>
                <w:b/>
                <w:sz w:val="18"/>
              </w:rPr>
              <w:t>准确率</w:t>
            </w:r>
          </w:p>
        </w:tc>
      </w:tr>
      <w:tr>
        <w:tc>
          <w:tcPr>
            <w:tcW w:type="dxa" w:w="2771"/>
          </w:tcPr>
          <w:p>
            <w:r/>
            <w:r>
              <w:rPr>
                <w:rFonts w:ascii="Times New Roman" w:hAnsi="Times New Roman"/>
                <w:sz w:val="18"/>
              </w:rPr>
              <w:t>vector × vector</w:t>
            </w:r>
          </w:p>
        </w:tc>
        <w:tc>
          <w:tcPr>
            <w:tcW w:type="dxa" w:w="2771"/>
          </w:tcPr>
          <w:p>
            <w:r/>
            <w:r>
              <w:rPr>
                <w:rFonts w:ascii="Times New Roman" w:hAnsi="Times New Roman"/>
                <w:sz w:val="18"/>
              </w:rPr>
              <w:t>10</w:t>
            </w:r>
          </w:p>
        </w:tc>
        <w:tc>
          <w:tcPr>
            <w:tcW w:type="dxa" w:w="2771"/>
          </w:tcPr>
          <w:p>
            <w:r/>
            <w:r>
              <w:rPr>
                <w:rFonts w:ascii="Times New Roman" w:hAnsi="Times New Roman"/>
                <w:sz w:val="18"/>
              </w:rPr>
              <w:t>100%</w:t>
            </w:r>
          </w:p>
        </w:tc>
      </w:tr>
      <w:tr>
        <w:tc>
          <w:tcPr>
            <w:tcW w:type="dxa" w:w="2771"/>
          </w:tcPr>
          <w:p>
            <w:r/>
            <w:r>
              <w:rPr>
                <w:rFonts w:ascii="Times New Roman" w:hAnsi="Times New Roman"/>
                <w:sz w:val="18"/>
              </w:rPr>
              <w:t>vector × raster</w:t>
            </w:r>
          </w:p>
        </w:tc>
        <w:tc>
          <w:tcPr>
            <w:tcW w:type="dxa" w:w="2771"/>
          </w:tcPr>
          <w:p>
            <w:r/>
            <w:r>
              <w:rPr>
                <w:rFonts w:ascii="Times New Roman" w:hAnsi="Times New Roman"/>
                <w:sz w:val="18"/>
              </w:rPr>
              <w:t>8</w:t>
            </w:r>
          </w:p>
        </w:tc>
        <w:tc>
          <w:tcPr>
            <w:tcW w:type="dxa" w:w="2771"/>
          </w:tcPr>
          <w:p>
            <w:r/>
            <w:r>
              <w:rPr>
                <w:rFonts w:ascii="Times New Roman" w:hAnsi="Times New Roman"/>
                <w:sz w:val="18"/>
              </w:rPr>
              <w:t>100%</w:t>
            </w:r>
          </w:p>
        </w:tc>
      </w:tr>
      <w:tr>
        <w:tc>
          <w:tcPr>
            <w:tcW w:type="dxa" w:w="2771"/>
          </w:tcPr>
          <w:p>
            <w:r/>
            <w:r>
              <w:rPr>
                <w:rFonts w:ascii="Times New Roman" w:hAnsi="Times New Roman"/>
                <w:sz w:val="18"/>
              </w:rPr>
              <w:t>vector × tabular</w:t>
            </w:r>
          </w:p>
        </w:tc>
        <w:tc>
          <w:tcPr>
            <w:tcW w:type="dxa" w:w="2771"/>
          </w:tcPr>
          <w:p>
            <w:r/>
            <w:r>
              <w:rPr>
                <w:rFonts w:ascii="Times New Roman" w:hAnsi="Times New Roman"/>
                <w:sz w:val="18"/>
              </w:rPr>
              <w:t>6</w:t>
            </w:r>
          </w:p>
        </w:tc>
        <w:tc>
          <w:tcPr>
            <w:tcW w:type="dxa" w:w="2771"/>
          </w:tcPr>
          <w:p>
            <w:r/>
            <w:r>
              <w:rPr>
                <w:rFonts w:ascii="Times New Roman" w:hAnsi="Times New Roman"/>
                <w:sz w:val="18"/>
              </w:rPr>
              <w:t>100%</w:t>
            </w:r>
          </w:p>
        </w:tc>
      </w:tr>
      <w:tr>
        <w:tc>
          <w:tcPr>
            <w:tcW w:type="dxa" w:w="2771"/>
          </w:tcPr>
          <w:p>
            <w:r/>
            <w:r>
              <w:rPr>
                <w:rFonts w:ascii="Times New Roman" w:hAnsi="Times New Roman"/>
                <w:sz w:val="18"/>
              </w:rPr>
              <w:t>raster × raster</w:t>
            </w:r>
          </w:p>
        </w:tc>
        <w:tc>
          <w:tcPr>
            <w:tcW w:type="dxa" w:w="2771"/>
          </w:tcPr>
          <w:p>
            <w:r/>
            <w:r>
              <w:rPr>
                <w:rFonts w:ascii="Times New Roman" w:hAnsi="Times New Roman"/>
                <w:sz w:val="18"/>
              </w:rPr>
              <w:t>2</w:t>
            </w:r>
          </w:p>
        </w:tc>
        <w:tc>
          <w:tcPr>
            <w:tcW w:type="dxa" w:w="2771"/>
          </w:tcPr>
          <w:p>
            <w:r/>
            <w:r>
              <w:rPr>
                <w:rFonts w:ascii="Times New Roman" w:hAnsi="Times New Roman"/>
                <w:sz w:val="18"/>
              </w:rPr>
              <w:t>100%</w:t>
            </w:r>
          </w:p>
        </w:tc>
      </w:tr>
      <w:tr>
        <w:tc>
          <w:tcPr>
            <w:tcW w:type="dxa" w:w="2771"/>
          </w:tcPr>
          <w:p>
            <w:r/>
            <w:r>
              <w:rPr>
                <w:rFonts w:ascii="Times New Roman" w:hAnsi="Times New Roman"/>
                <w:sz w:val="18"/>
              </w:rPr>
              <w:t>跨模态特殊</w:t>
            </w:r>
          </w:p>
        </w:tc>
        <w:tc>
          <w:tcPr>
            <w:tcW w:type="dxa" w:w="2771"/>
          </w:tcPr>
          <w:p>
            <w:r/>
            <w:r>
              <w:rPr>
                <w:rFonts w:ascii="Times New Roman" w:hAnsi="Times New Roman"/>
                <w:sz w:val="18"/>
              </w:rPr>
              <w:t>4</w:t>
            </w:r>
          </w:p>
        </w:tc>
        <w:tc>
          <w:tcPr>
            <w:tcW w:type="dxa" w:w="2771"/>
          </w:tcPr>
          <w:p>
            <w:r/>
            <w:r>
              <w:rPr>
                <w:rFonts w:ascii="Times New Roman" w:hAnsi="Times New Roman"/>
                <w:sz w:val="18"/>
              </w:rPr>
              <w:t>100%</w:t>
            </w:r>
          </w:p>
        </w:tc>
      </w:tr>
      <w:tr>
        <w:tc>
          <w:tcPr>
            <w:tcW w:type="dxa" w:w="2771"/>
          </w:tcPr>
          <w:p>
            <w:r/>
            <w:r>
              <w:rPr>
                <w:rFonts w:ascii="Times New Roman" w:hAnsi="Times New Roman"/>
                <w:sz w:val="18"/>
              </w:rPr>
              <w:t>**总体**</w:t>
            </w:r>
          </w:p>
        </w:tc>
        <w:tc>
          <w:tcPr>
            <w:tcW w:type="dxa" w:w="2771"/>
          </w:tcPr>
          <w:p>
            <w:r/>
            <w:r>
              <w:rPr>
                <w:rFonts w:ascii="Times New Roman" w:hAnsi="Times New Roman"/>
                <w:sz w:val="18"/>
              </w:rPr>
              <w:t>**30**</w:t>
            </w:r>
          </w:p>
        </w:tc>
        <w:tc>
          <w:tcPr>
            <w:tcW w:type="dxa" w:w="2771"/>
          </w:tcPr>
          <w:p>
            <w:r/>
            <w:r>
              <w:rPr>
                <w:rFonts w:ascii="Times New Roman" w:hAnsi="Times New Roman"/>
                <w:sz w:val="18"/>
              </w:rPr>
              <w:t>**100%**</w:t>
            </w:r>
          </w:p>
        </w:tc>
      </w:tr>
    </w:tbl>
    <w:p>
      <w:pPr>
        <w:pStyle w:val="Heading3"/>
      </w:pPr>
      <w:r>
        <w:t>6.5.3 单位转换精度</w:t>
      </w:r>
    </w:p>
    <w:p>
      <w:r>
        <w:t>对 8 组双向转换对（m²↔亩、亩↔ha、m²↔ha、m↔km）执行 `_apply_unit_conversions()`，验证数值精度：</w:t>
      </w:r>
    </w:p>
    <w:p>
      <w:pPr>
        <w:pStyle w:val="ListBullet"/>
      </w:pPr>
      <w:r>
        <w:t>**最大相对误差**: 0.00（浮点精度级，零误差）</w:t>
      </w:r>
    </w:p>
    <w:p>
      <w:pPr>
        <w:pStyle w:val="ListBullet"/>
      </w:pPr>
      <w:r>
        <w:t>**支持转换对数**: 8</w:t>
      </w:r>
    </w:p>
    <w:p>
      <w:pPr>
        <w:pStyle w:val="Heading3"/>
      </w:pPr>
      <w:r>
        <w:t>6.5.4 兼容性评分准确率</w:t>
      </w:r>
    </w:p>
    <w:p>
      <w:r>
        <w:t>构造 15 个数据对（高/中/低兼容性各 5 个），验证 `assess_compatibility()` 评分是否落在预期区间：</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
              <w:rPr>
                <w:rFonts w:ascii="Times New Roman" w:hAnsi="Times New Roman"/>
                <w:b/>
                <w:sz w:val="18"/>
              </w:rPr>
              <w:t>兼容性等级</w:t>
            </w:r>
          </w:p>
        </w:tc>
        <w:tc>
          <w:tcPr>
            <w:tcW w:type="dxa" w:w="2771"/>
          </w:tcPr>
          <w:p>
            <w:r/>
            <w:r>
              <w:rPr>
                <w:rFonts w:ascii="Times New Roman" w:hAnsi="Times New Roman"/>
                <w:b/>
                <w:sz w:val="18"/>
              </w:rPr>
              <w:t>预期区间</w:t>
            </w:r>
          </w:p>
        </w:tc>
        <w:tc>
          <w:tcPr>
            <w:tcW w:type="dxa" w:w="2771"/>
          </w:tcPr>
          <w:p>
            <w:r/>
            <w:r>
              <w:rPr>
                <w:rFonts w:ascii="Times New Roman" w:hAnsi="Times New Roman"/>
                <w:b/>
                <w:sz w:val="18"/>
              </w:rPr>
              <w:t>命中率</w:t>
            </w:r>
          </w:p>
        </w:tc>
      </w:tr>
      <w:tr>
        <w:tc>
          <w:tcPr>
            <w:tcW w:type="dxa" w:w="2771"/>
          </w:tcPr>
          <w:p>
            <w:r/>
            <w:r>
              <w:rPr>
                <w:rFonts w:ascii="Times New Roman" w:hAnsi="Times New Roman"/>
                <w:sz w:val="18"/>
              </w:rPr>
              <w:t>高（同CRS+重叠+共享字段）</w:t>
            </w:r>
          </w:p>
        </w:tc>
        <w:tc>
          <w:tcPr>
            <w:tcW w:type="dxa" w:w="2771"/>
          </w:tcPr>
          <w:p>
            <w:r/>
            <w:r>
              <w:rPr>
                <w:rFonts w:ascii="Times New Roman" w:hAnsi="Times New Roman"/>
                <w:sz w:val="18"/>
              </w:rPr>
              <w:t>0.7–1.0</w:t>
            </w:r>
          </w:p>
        </w:tc>
        <w:tc>
          <w:tcPr>
            <w:tcW w:type="dxa" w:w="2771"/>
          </w:tcPr>
          <w:p>
            <w:r/>
            <w:r>
              <w:rPr>
                <w:rFonts w:ascii="Times New Roman" w:hAnsi="Times New Roman"/>
                <w:sz w:val="18"/>
              </w:rPr>
              <w:t>100%</w:t>
            </w:r>
          </w:p>
        </w:tc>
      </w:tr>
      <w:tr>
        <w:tc>
          <w:tcPr>
            <w:tcW w:type="dxa" w:w="2771"/>
          </w:tcPr>
          <w:p>
            <w:r/>
            <w:r>
              <w:rPr>
                <w:rFonts w:ascii="Times New Roman" w:hAnsi="Times New Roman"/>
                <w:sz w:val="18"/>
              </w:rPr>
              <w:t>中（不同CRS或部分匹配）</w:t>
            </w:r>
          </w:p>
        </w:tc>
        <w:tc>
          <w:tcPr>
            <w:tcW w:type="dxa" w:w="2771"/>
          </w:tcPr>
          <w:p>
            <w:r/>
            <w:r>
              <w:rPr>
                <w:rFonts w:ascii="Times New Roman" w:hAnsi="Times New Roman"/>
                <w:sz w:val="18"/>
              </w:rPr>
              <w:t>0.35–0.95</w:t>
            </w:r>
          </w:p>
        </w:tc>
        <w:tc>
          <w:tcPr>
            <w:tcW w:type="dxa" w:w="2771"/>
          </w:tcPr>
          <w:p>
            <w:r/>
            <w:r>
              <w:rPr>
                <w:rFonts w:ascii="Times New Roman" w:hAnsi="Times New Roman"/>
                <w:sz w:val="18"/>
              </w:rPr>
              <w:t>100%</w:t>
            </w:r>
          </w:p>
        </w:tc>
      </w:tr>
      <w:tr>
        <w:tc>
          <w:tcPr>
            <w:tcW w:type="dxa" w:w="2771"/>
          </w:tcPr>
          <w:p>
            <w:r/>
            <w:r>
              <w:rPr>
                <w:rFonts w:ascii="Times New Roman" w:hAnsi="Times New Roman"/>
                <w:sz w:val="18"/>
              </w:rPr>
              <w:t>低（跨类型、无共享字段）</w:t>
            </w:r>
          </w:p>
        </w:tc>
        <w:tc>
          <w:tcPr>
            <w:tcW w:type="dxa" w:w="2771"/>
          </w:tcPr>
          <w:p>
            <w:r/>
            <w:r>
              <w:rPr>
                <w:rFonts w:ascii="Times New Roman" w:hAnsi="Times New Roman"/>
                <w:sz w:val="18"/>
              </w:rPr>
              <w:t>0.2–0.75</w:t>
            </w:r>
          </w:p>
        </w:tc>
        <w:tc>
          <w:tcPr>
            <w:tcW w:type="dxa" w:w="2771"/>
          </w:tcPr>
          <w:p>
            <w:r/>
            <w:r>
              <w:rPr>
                <w:rFonts w:ascii="Times New Roman" w:hAnsi="Times New Roman"/>
                <w:sz w:val="18"/>
              </w:rPr>
              <w:t>100%</w:t>
            </w:r>
          </w:p>
        </w:tc>
      </w:tr>
    </w:tbl>
    <w:p>
      <w:pPr>
        <w:pStyle w:val="Heading3"/>
      </w:pPr>
      <w:r>
        <w:t>6.5.5 融合质量评分</w:t>
      </w:r>
    </w:p>
    <w:p>
      <w:r>
        <w:t>对 8 种核心策略使用干净合成数据执行融合，收集 `validate_quality()` 的质量分数：</w:t>
      </w:r>
    </w:p>
    <w:tbl>
      <w:tblPr>
        <w:tblStyle w:val="TableGrid"/>
        <w:tblW w:type="auto" w:w="0"/>
        <w:jc w:val="center"/>
        <w:tblLook w:firstColumn="1" w:firstRow="1" w:lastColumn="0" w:lastRow="0" w:noHBand="0" w:noVBand="1" w:val="04A0"/>
      </w:tblPr>
      <w:tblGrid>
        <w:gridCol w:w="4156"/>
        <w:gridCol w:w="4156"/>
      </w:tblGrid>
      <w:tr>
        <w:tc>
          <w:tcPr>
            <w:tcW w:type="dxa" w:w="4156"/>
          </w:tcPr>
          <w:p>
            <w:r/>
            <w:r>
              <w:rPr>
                <w:rFonts w:ascii="Times New Roman" w:hAnsi="Times New Roman"/>
                <w:b/>
                <w:sz w:val="18"/>
              </w:rPr>
              <w:t>策略</w:t>
            </w:r>
          </w:p>
        </w:tc>
        <w:tc>
          <w:tcPr>
            <w:tcW w:type="dxa" w:w="4156"/>
          </w:tcPr>
          <w:p>
            <w:r/>
            <w:r>
              <w:rPr>
                <w:rFonts w:ascii="Times New Roman" w:hAnsi="Times New Roman"/>
                <w:b/>
                <w:sz w:val="18"/>
              </w:rPr>
              <w:t>质量分数</w:t>
            </w:r>
          </w:p>
        </w:tc>
      </w:tr>
      <w:tr>
        <w:tc>
          <w:tcPr>
            <w:tcW w:type="dxa" w:w="4156"/>
          </w:tcPr>
          <w:p>
            <w:r/>
            <w:r>
              <w:rPr>
                <w:rFonts w:ascii="Times New Roman" w:hAnsi="Times New Roman"/>
                <w:sz w:val="18"/>
              </w:rPr>
              <w:t>spatial_join</w:t>
            </w:r>
          </w:p>
        </w:tc>
        <w:tc>
          <w:tcPr>
            <w:tcW w:type="dxa" w:w="4156"/>
          </w:tcPr>
          <w:p>
            <w:r/>
            <w:r>
              <w:rPr>
                <w:rFonts w:ascii="Times New Roman" w:hAnsi="Times New Roman"/>
                <w:sz w:val="18"/>
              </w:rPr>
              <w:t>1.0</w:t>
            </w:r>
          </w:p>
        </w:tc>
      </w:tr>
      <w:tr>
        <w:tc>
          <w:tcPr>
            <w:tcW w:type="dxa" w:w="4156"/>
          </w:tcPr>
          <w:p>
            <w:r/>
            <w:r>
              <w:rPr>
                <w:rFonts w:ascii="Times New Roman" w:hAnsi="Times New Roman"/>
                <w:sz w:val="18"/>
              </w:rPr>
              <w:t>overlay</w:t>
            </w:r>
          </w:p>
        </w:tc>
        <w:tc>
          <w:tcPr>
            <w:tcW w:type="dxa" w:w="4156"/>
          </w:tcPr>
          <w:p>
            <w:r/>
            <w:r>
              <w:rPr>
                <w:rFonts w:ascii="Times New Roman" w:hAnsi="Times New Roman"/>
                <w:sz w:val="18"/>
              </w:rPr>
              <w:t>1.0</w:t>
            </w:r>
          </w:p>
        </w:tc>
      </w:tr>
      <w:tr>
        <w:tc>
          <w:tcPr>
            <w:tcW w:type="dxa" w:w="4156"/>
          </w:tcPr>
          <w:p>
            <w:r/>
            <w:r>
              <w:rPr>
                <w:rFonts w:ascii="Times New Roman" w:hAnsi="Times New Roman"/>
                <w:sz w:val="18"/>
              </w:rPr>
              <w:t>nearest_join</w:t>
            </w:r>
          </w:p>
        </w:tc>
        <w:tc>
          <w:tcPr>
            <w:tcW w:type="dxa" w:w="4156"/>
          </w:tcPr>
          <w:p>
            <w:r/>
            <w:r>
              <w:rPr>
                <w:rFonts w:ascii="Times New Roman" w:hAnsi="Times New Roman"/>
                <w:sz w:val="18"/>
              </w:rPr>
              <w:t>1.0</w:t>
            </w:r>
          </w:p>
        </w:tc>
      </w:tr>
      <w:tr>
        <w:tc>
          <w:tcPr>
            <w:tcW w:type="dxa" w:w="4156"/>
          </w:tcPr>
          <w:p>
            <w:r/>
            <w:r>
              <w:rPr>
                <w:rFonts w:ascii="Times New Roman" w:hAnsi="Times New Roman"/>
                <w:sz w:val="18"/>
              </w:rPr>
              <w:t>attribute_join</w:t>
            </w:r>
          </w:p>
        </w:tc>
        <w:tc>
          <w:tcPr>
            <w:tcW w:type="dxa" w:w="4156"/>
          </w:tcPr>
          <w:p>
            <w:r/>
            <w:r>
              <w:rPr>
                <w:rFonts w:ascii="Times New Roman" w:hAnsi="Times New Roman"/>
                <w:sz w:val="18"/>
              </w:rPr>
              <w:t>1.0</w:t>
            </w:r>
          </w:p>
        </w:tc>
      </w:tr>
      <w:tr>
        <w:tc>
          <w:tcPr>
            <w:tcW w:type="dxa" w:w="4156"/>
          </w:tcPr>
          <w:p>
            <w:r/>
            <w:r>
              <w:rPr>
                <w:rFonts w:ascii="Times New Roman" w:hAnsi="Times New Roman"/>
                <w:sz w:val="18"/>
              </w:rPr>
              <w:t>zonal_statistics</w:t>
            </w:r>
          </w:p>
        </w:tc>
        <w:tc>
          <w:tcPr>
            <w:tcW w:type="dxa" w:w="4156"/>
          </w:tcPr>
          <w:p>
            <w:r/>
            <w:r>
              <w:rPr>
                <w:rFonts w:ascii="Times New Roman" w:hAnsi="Times New Roman"/>
                <w:sz w:val="18"/>
              </w:rPr>
              <w:t>0.7</w:t>
            </w:r>
          </w:p>
        </w:tc>
      </w:tr>
      <w:tr>
        <w:tc>
          <w:tcPr>
            <w:tcW w:type="dxa" w:w="4156"/>
          </w:tcPr>
          <w:p>
            <w:r/>
            <w:r>
              <w:rPr>
                <w:rFonts w:ascii="Times New Roman" w:hAnsi="Times New Roman"/>
                <w:sz w:val="18"/>
              </w:rPr>
              <w:t>point_sampling</w:t>
            </w:r>
          </w:p>
        </w:tc>
        <w:tc>
          <w:tcPr>
            <w:tcW w:type="dxa" w:w="4156"/>
          </w:tcPr>
          <w:p>
            <w:r/>
            <w:r>
              <w:rPr>
                <w:rFonts w:ascii="Times New Roman" w:hAnsi="Times New Roman"/>
                <w:sz w:val="18"/>
              </w:rPr>
              <w:t>1.0</w:t>
            </w:r>
          </w:p>
        </w:tc>
      </w:tr>
      <w:tr>
        <w:tc>
          <w:tcPr>
            <w:tcW w:type="dxa" w:w="4156"/>
          </w:tcPr>
          <w:p>
            <w:r/>
            <w:r>
              <w:rPr>
                <w:rFonts w:ascii="Times New Roman" w:hAnsi="Times New Roman"/>
                <w:sz w:val="18"/>
              </w:rPr>
              <w:t>band_stack</w:t>
            </w:r>
          </w:p>
        </w:tc>
        <w:tc>
          <w:tcPr>
            <w:tcW w:type="dxa" w:w="4156"/>
          </w:tcPr>
          <w:p>
            <w:r/>
            <w:r>
              <w:rPr>
                <w:rFonts w:ascii="Times New Roman" w:hAnsi="Times New Roman"/>
                <w:sz w:val="18"/>
              </w:rPr>
              <w:t>1.0</w:t>
            </w:r>
          </w:p>
        </w:tc>
      </w:tr>
      <w:tr>
        <w:tc>
          <w:tcPr>
            <w:tcW w:type="dxa" w:w="4156"/>
          </w:tcPr>
          <w:p>
            <w:r/>
            <w:r>
              <w:rPr>
                <w:rFonts w:ascii="Times New Roman" w:hAnsi="Times New Roman"/>
                <w:sz w:val="18"/>
              </w:rPr>
              <w:t>raster_vectorize</w:t>
            </w:r>
          </w:p>
        </w:tc>
        <w:tc>
          <w:tcPr>
            <w:tcW w:type="dxa" w:w="4156"/>
          </w:tcPr>
          <w:p>
            <w:r/>
            <w:r>
              <w:rPr>
                <w:rFonts w:ascii="Times New Roman" w:hAnsi="Times New Roman"/>
                <w:sz w:val="18"/>
              </w:rPr>
              <w:t>1.0</w:t>
            </w:r>
          </w:p>
        </w:tc>
      </w:tr>
      <w:tr>
        <w:tc>
          <w:tcPr>
            <w:tcW w:type="dxa" w:w="4156"/>
          </w:tcPr>
          <w:p>
            <w:r/>
            <w:r>
              <w:rPr>
                <w:rFonts w:ascii="Times New Roman" w:hAnsi="Times New Roman"/>
                <w:sz w:val="18"/>
              </w:rPr>
              <w:t>**均值 ± 标准差**</w:t>
            </w:r>
          </w:p>
        </w:tc>
        <w:tc>
          <w:tcPr>
            <w:tcW w:type="dxa" w:w="4156"/>
          </w:tcPr>
          <w:p>
            <w:r/>
            <w:r>
              <w:rPr>
                <w:rFonts w:ascii="Times New Roman" w:hAnsi="Times New Roman"/>
                <w:sz w:val="18"/>
              </w:rPr>
              <w:t>**0.96 ± 0.10**</w:t>
            </w:r>
          </w:p>
        </w:tc>
      </w:tr>
    </w:tbl>
    <w:p>
      <w:pPr>
        <w:pStyle w:val="Heading3"/>
      </w:pPr>
      <w:r>
        <w:t>6.5.6 异常检测率</w:t>
      </w:r>
    </w:p>
    <w:p>
      <w:r>
        <w:t>向干净数据注入 7 类已知缺陷，验证 `validate_quality()` 的检出能力：</w:t>
      </w:r>
    </w:p>
    <w:tbl>
      <w:tblPr>
        <w:tblStyle w:val="TableGrid"/>
        <w:tblW w:type="auto" w:w="0"/>
        <w:jc w:val="center"/>
        <w:tblLook w:firstColumn="1" w:firstRow="1" w:lastColumn="0" w:lastRow="0" w:noHBand="0" w:noVBand="1" w:val="04A0"/>
      </w:tblPr>
      <w:tblGrid>
        <w:gridCol w:w="4156"/>
        <w:gridCol w:w="4156"/>
      </w:tblGrid>
      <w:tr>
        <w:tc>
          <w:tcPr>
            <w:tcW w:type="dxa" w:w="4156"/>
          </w:tcPr>
          <w:p>
            <w:r/>
            <w:r>
              <w:rPr>
                <w:rFonts w:ascii="Times New Roman" w:hAnsi="Times New Roman"/>
                <w:b/>
                <w:sz w:val="18"/>
              </w:rPr>
              <w:t>缺陷类型</w:t>
            </w:r>
          </w:p>
        </w:tc>
        <w:tc>
          <w:tcPr>
            <w:tcW w:type="dxa" w:w="4156"/>
          </w:tcPr>
          <w:p>
            <w:r/>
            <w:r>
              <w:rPr>
                <w:rFonts w:ascii="Times New Roman" w:hAnsi="Times New Roman"/>
                <w:b/>
                <w:sz w:val="18"/>
              </w:rPr>
              <w:t>检出</w:t>
            </w:r>
          </w:p>
        </w:tc>
      </w:tr>
      <w:tr>
        <w:tc>
          <w:tcPr>
            <w:tcW w:type="dxa" w:w="4156"/>
          </w:tcPr>
          <w:p>
            <w:r/>
            <w:r>
              <w:rPr>
                <w:rFonts w:ascii="Times New Roman" w:hAnsi="Times New Roman"/>
                <w:sz w:val="18"/>
              </w:rPr>
              <w:t>高空值率（60%）</w:t>
            </w:r>
          </w:p>
        </w:tc>
        <w:tc>
          <w:tcPr>
            <w:tcW w:type="dxa" w:w="4156"/>
          </w:tcPr>
          <w:p>
            <w:r/>
            <w:r>
              <w:rPr>
                <w:rFonts w:ascii="Times New Roman" w:hAnsi="Times New Roman"/>
                <w:sz w:val="18"/>
              </w:rPr>
              <w:t>✅</w:t>
            </w:r>
          </w:p>
        </w:tc>
      </w:tr>
      <w:tr>
        <w:tc>
          <w:tcPr>
            <w:tcW w:type="dxa" w:w="4156"/>
          </w:tcPr>
          <w:p>
            <w:r/>
            <w:r>
              <w:rPr>
                <w:rFonts w:ascii="Times New Roman" w:hAnsi="Times New Roman"/>
                <w:sz w:val="18"/>
              </w:rPr>
              <w:t>无效几何（自相交）</w:t>
            </w:r>
          </w:p>
        </w:tc>
        <w:tc>
          <w:tcPr>
            <w:tcW w:type="dxa" w:w="4156"/>
          </w:tcPr>
          <w:p>
            <w:r/>
            <w:r>
              <w:rPr>
                <w:rFonts w:ascii="Times New Roman" w:hAnsi="Times New Roman"/>
                <w:sz w:val="18"/>
              </w:rPr>
              <w:t>✅</w:t>
            </w:r>
          </w:p>
        </w:tc>
      </w:tr>
      <w:tr>
        <w:tc>
          <w:tcPr>
            <w:tcW w:type="dxa" w:w="4156"/>
          </w:tcPr>
          <w:p>
            <w:r/>
            <w:r>
              <w:rPr>
                <w:rFonts w:ascii="Times New Roman" w:hAnsi="Times New Roman"/>
                <w:sz w:val="18"/>
              </w:rPr>
              <w:t>极端异常值（&gt;5×IQR）</w:t>
            </w:r>
          </w:p>
        </w:tc>
        <w:tc>
          <w:tcPr>
            <w:tcW w:type="dxa" w:w="4156"/>
          </w:tcPr>
          <w:p>
            <w:r/>
            <w:r>
              <w:rPr>
                <w:rFonts w:ascii="Times New Roman" w:hAnsi="Times New Roman"/>
                <w:sz w:val="18"/>
              </w:rPr>
              <w:t>✅</w:t>
            </w:r>
          </w:p>
        </w:tc>
      </w:tr>
      <w:tr>
        <w:tc>
          <w:tcPr>
            <w:tcW w:type="dxa" w:w="4156"/>
          </w:tcPr>
          <w:p>
            <w:r/>
            <w:r>
              <w:rPr>
                <w:rFonts w:ascii="Times New Roman" w:hAnsi="Times New Roman"/>
                <w:sz w:val="18"/>
              </w:rPr>
              <w:t>微面多边形（&lt;0.1%中位面积）</w:t>
            </w:r>
          </w:p>
        </w:tc>
        <w:tc>
          <w:tcPr>
            <w:tcW w:type="dxa" w:w="4156"/>
          </w:tcPr>
          <w:p>
            <w:r/>
            <w:r>
              <w:rPr>
                <w:rFonts w:ascii="Times New Roman" w:hAnsi="Times New Roman"/>
                <w:sz w:val="18"/>
              </w:rPr>
              <w:t>✅</w:t>
            </w:r>
          </w:p>
        </w:tc>
      </w:tr>
      <w:tr>
        <w:tc>
          <w:tcPr>
            <w:tcW w:type="dxa" w:w="4156"/>
          </w:tcPr>
          <w:p>
            <w:r/>
            <w:r>
              <w:rPr>
                <w:rFonts w:ascii="Times New Roman" w:hAnsi="Times New Roman"/>
                <w:sz w:val="18"/>
              </w:rPr>
              <w:t>拓扑错误（自相交多边形）</w:t>
            </w:r>
          </w:p>
        </w:tc>
        <w:tc>
          <w:tcPr>
            <w:tcW w:type="dxa" w:w="4156"/>
          </w:tcPr>
          <w:p>
            <w:r/>
            <w:r>
              <w:rPr>
                <w:rFonts w:ascii="Times New Roman" w:hAnsi="Times New Roman"/>
                <w:sz w:val="18"/>
              </w:rPr>
              <w:t>✅</w:t>
            </w:r>
          </w:p>
        </w:tc>
      </w:tr>
      <w:tr>
        <w:tc>
          <w:tcPr>
            <w:tcW w:type="dxa" w:w="4156"/>
          </w:tcPr>
          <w:p>
            <w:r/>
            <w:r>
              <w:rPr>
                <w:rFonts w:ascii="Times New Roman" w:hAnsi="Times New Roman"/>
                <w:sz w:val="18"/>
              </w:rPr>
              <w:t>行丢失（&lt;50%输入）</w:t>
            </w:r>
          </w:p>
        </w:tc>
        <w:tc>
          <w:tcPr>
            <w:tcW w:type="dxa" w:w="4156"/>
          </w:tcPr>
          <w:p>
            <w:r/>
            <w:r>
              <w:rPr>
                <w:rFonts w:ascii="Times New Roman" w:hAnsi="Times New Roman"/>
                <w:sz w:val="18"/>
              </w:rPr>
              <w:t>✅</w:t>
            </w:r>
          </w:p>
        </w:tc>
      </w:tr>
      <w:tr>
        <w:tc>
          <w:tcPr>
            <w:tcW w:type="dxa" w:w="4156"/>
          </w:tcPr>
          <w:p>
            <w:r/>
            <w:r>
              <w:rPr>
                <w:rFonts w:ascii="Times New Roman" w:hAnsi="Times New Roman"/>
                <w:sz w:val="18"/>
              </w:rPr>
              <w:t>空结果（0行）</w:t>
            </w:r>
          </w:p>
        </w:tc>
        <w:tc>
          <w:tcPr>
            <w:tcW w:type="dxa" w:w="4156"/>
          </w:tcPr>
          <w:p>
            <w:r/>
            <w:r>
              <w:rPr>
                <w:rFonts w:ascii="Times New Roman" w:hAnsi="Times New Roman"/>
                <w:sz w:val="18"/>
              </w:rPr>
              <w:t>✅</w:t>
            </w:r>
          </w:p>
        </w:tc>
      </w:tr>
      <w:tr>
        <w:tc>
          <w:tcPr>
            <w:tcW w:type="dxa" w:w="4156"/>
          </w:tcPr>
          <w:p>
            <w:r/>
            <w:r>
              <w:rPr>
                <w:rFonts w:ascii="Times New Roman" w:hAnsi="Times New Roman"/>
                <w:sz w:val="18"/>
              </w:rPr>
              <w:t>**检出率**</w:t>
            </w:r>
          </w:p>
        </w:tc>
        <w:tc>
          <w:tcPr>
            <w:tcW w:type="dxa" w:w="4156"/>
          </w:tcPr>
          <w:p>
            <w:r/>
            <w:r>
              <w:rPr>
                <w:rFonts w:ascii="Times New Roman" w:hAnsi="Times New Roman"/>
                <w:sz w:val="18"/>
              </w:rPr>
              <w:t>**100%（7/7）**</w:t>
            </w:r>
          </w:p>
        </w:tc>
      </w:tr>
    </w:tbl>
    <w:p>
      <w:pPr>
        <w:pStyle w:val="Heading3"/>
      </w:pPr>
      <w:r>
        <w:t>6.5.7 数据完整性保持率</w:t>
      </w:r>
    </w:p>
    <w:p>
      <w:r>
        <w:t>对 6 种核心策略测量输出相对于输入的保持率：</w:t>
      </w:r>
    </w:p>
    <w:p>
      <w:pPr>
        <w:pStyle w:val="ListBullet"/>
      </w:pPr>
      <w:r>
        <w:t>**平均行保持率**: 1.00（≥0.80阈值）</w:t>
      </w:r>
    </w:p>
    <w:p>
      <w:pPr>
        <w:pStyle w:val="ListBullet"/>
      </w:pPr>
      <w:r>
        <w:t>**平均几何有效率**: 1.00（≥0.99阈值）</w:t>
      </w:r>
    </w:p>
    <w:p>
      <w:pPr>
        <w:pStyle w:val="Heading3"/>
      </w:pPr>
      <w:r>
        <w:t>6.5.8 模态与策略覆盖度</w:t>
      </w:r>
    </w:p>
    <w:tbl>
      <w:tblPr>
        <w:tblStyle w:val="TableGrid"/>
        <w:tblW w:type="auto" w:w="0"/>
        <w:jc w:val="center"/>
        <w:tblLook w:firstColumn="1" w:firstRow="1" w:lastColumn="0" w:lastRow="0" w:noHBand="0" w:noVBand="1" w:val="04A0"/>
      </w:tblPr>
      <w:tblGrid>
        <w:gridCol w:w="4156"/>
        <w:gridCol w:w="4156"/>
      </w:tblGrid>
      <w:tr>
        <w:tc>
          <w:tcPr>
            <w:tcW w:type="dxa" w:w="4156"/>
          </w:tcPr>
          <w:p>
            <w:r/>
            <w:r>
              <w:rPr>
                <w:rFonts w:ascii="Times New Roman" w:hAnsi="Times New Roman"/>
                <w:b/>
                <w:sz w:val="18"/>
              </w:rPr>
              <w:t>维度</w:t>
            </w:r>
          </w:p>
        </w:tc>
        <w:tc>
          <w:tcPr>
            <w:tcW w:type="dxa" w:w="4156"/>
          </w:tcPr>
          <w:p>
            <w:r/>
            <w:r>
              <w:rPr>
                <w:rFonts w:ascii="Times New Roman" w:hAnsi="Times New Roman"/>
                <w:b/>
                <w:sz w:val="18"/>
              </w:rPr>
              <w:t>覆盖</w:t>
            </w:r>
          </w:p>
        </w:tc>
      </w:tr>
      <w:tr>
        <w:tc>
          <w:tcPr>
            <w:tcW w:type="dxa" w:w="4156"/>
          </w:tcPr>
          <w:p>
            <w:r/>
            <w:r>
              <w:rPr>
                <w:rFonts w:ascii="Times New Roman" w:hAnsi="Times New Roman"/>
                <w:sz w:val="18"/>
              </w:rPr>
              <w:t>数据模态</w:t>
            </w:r>
          </w:p>
        </w:tc>
        <w:tc>
          <w:tcPr>
            <w:tcW w:type="dxa" w:w="4156"/>
          </w:tcPr>
          <w:p>
            <w:r/>
            <w:r>
              <w:rPr>
                <w:rFonts w:ascii="Times New Roman" w:hAnsi="Times New Roman"/>
                <w:sz w:val="18"/>
              </w:rPr>
              <w:t>5/5（矢量、栅格、表格、点云、实时流）</w:t>
            </w:r>
          </w:p>
        </w:tc>
      </w:tr>
      <w:tr>
        <w:tc>
          <w:tcPr>
            <w:tcW w:type="dxa" w:w="4156"/>
          </w:tcPr>
          <w:p>
            <w:r/>
            <w:r>
              <w:rPr>
                <w:rFonts w:ascii="Times New Roman" w:hAnsi="Times New Roman"/>
                <w:sz w:val="18"/>
              </w:rPr>
              <w:t>融合策略</w:t>
            </w:r>
          </w:p>
        </w:tc>
        <w:tc>
          <w:tcPr>
            <w:tcW w:type="dxa" w:w="4156"/>
          </w:tcPr>
          <w:p>
            <w:r/>
            <w:r>
              <w:rPr>
                <w:rFonts w:ascii="Times New Roman" w:hAnsi="Times New Roman"/>
                <w:sz w:val="18"/>
              </w:rPr>
              <w:t>10/10</w:t>
            </w:r>
          </w:p>
        </w:tc>
      </w:tr>
      <w:tr>
        <w:tc>
          <w:tcPr>
            <w:tcW w:type="dxa" w:w="4156"/>
          </w:tcPr>
          <w:p>
            <w:r/>
            <w:r>
              <w:rPr>
                <w:rFonts w:ascii="Times New Roman" w:hAnsi="Times New Roman"/>
                <w:sz w:val="18"/>
              </w:rPr>
              <w:t>类型对映射</w:t>
            </w:r>
          </w:p>
        </w:tc>
        <w:tc>
          <w:tcPr>
            <w:tcW w:type="dxa" w:w="4156"/>
          </w:tcPr>
          <w:p>
            <w:r/>
            <w:r>
              <w:rPr>
                <w:rFonts w:ascii="Times New Roman" w:hAnsi="Times New Roman"/>
                <w:sz w:val="18"/>
              </w:rPr>
              <w:t>11/11</w:t>
            </w:r>
          </w:p>
        </w:tc>
      </w:tr>
      <w:tr>
        <w:tc>
          <w:tcPr>
            <w:tcW w:type="dxa" w:w="4156"/>
          </w:tcPr>
          <w:p>
            <w:r/>
            <w:r>
              <w:rPr>
                <w:rFonts w:ascii="Times New Roman" w:hAnsi="Times New Roman"/>
                <w:sz w:val="18"/>
              </w:rPr>
              <w:t>质量检查项</w:t>
            </w:r>
          </w:p>
        </w:tc>
        <w:tc>
          <w:tcPr>
            <w:tcW w:type="dxa" w:w="4156"/>
          </w:tcPr>
          <w:p>
            <w:r/>
            <w:r>
              <w:rPr>
                <w:rFonts w:ascii="Times New Roman" w:hAnsi="Times New Roman"/>
                <w:sz w:val="18"/>
              </w:rPr>
              <w:t>10/10</w:t>
            </w:r>
          </w:p>
        </w:tc>
      </w:tr>
      <w:tr>
        <w:tc>
          <w:tcPr>
            <w:tcW w:type="dxa" w:w="4156"/>
          </w:tcPr>
          <w:p>
            <w:r/>
            <w:r>
              <w:rPr>
                <w:rFonts w:ascii="Times New Roman" w:hAnsi="Times New Roman"/>
                <w:sz w:val="18"/>
              </w:rPr>
              <w:t>单位转换对</w:t>
            </w:r>
          </w:p>
        </w:tc>
        <w:tc>
          <w:tcPr>
            <w:tcW w:type="dxa" w:w="4156"/>
          </w:tcPr>
          <w:p>
            <w:r/>
            <w:r>
              <w:rPr>
                <w:rFonts w:ascii="Times New Roman" w:hAnsi="Times New Roman"/>
                <w:sz w:val="18"/>
              </w:rPr>
              <w:t>8</w:t>
            </w:r>
          </w:p>
        </w:tc>
      </w:tr>
      <w:tr>
        <w:tc>
          <w:tcPr>
            <w:tcW w:type="dxa" w:w="4156"/>
          </w:tcPr>
          <w:p>
            <w:r/>
            <w:r>
              <w:rPr>
                <w:rFonts w:ascii="Times New Roman" w:hAnsi="Times New Roman"/>
                <w:sz w:val="18"/>
              </w:rPr>
              <w:t>语义等价组</w:t>
            </w:r>
          </w:p>
        </w:tc>
        <w:tc>
          <w:tcPr>
            <w:tcW w:type="dxa" w:w="4156"/>
          </w:tcPr>
          <w:p>
            <w:r/>
            <w:r>
              <w:rPr>
                <w:rFonts w:ascii="Times New Roman" w:hAnsi="Times New Roman"/>
                <w:sz w:val="18"/>
              </w:rPr>
              <w:t>10</w:t>
            </w:r>
          </w:p>
        </w:tc>
      </w:tr>
    </w:tbl>
    <w:p>
      <w:pPr>
        <w:pStyle w:val="Heading3"/>
      </w:pPr>
      <w:r>
        <w:t>6.5.9 处理性能</w:t>
      </w:r>
    </w:p>
    <w:p>
      <w:r>
        <w:t>在不同规模的合成数据上测量 spatial_join 的端到端耗时：</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r/>
            <w:r>
              <w:rPr>
                <w:rFonts w:ascii="Times New Roman" w:hAnsi="Times New Roman"/>
                <w:b/>
                <w:sz w:val="18"/>
              </w:rPr>
              <w:t>数据规模</w:t>
            </w:r>
          </w:p>
        </w:tc>
        <w:tc>
          <w:tcPr>
            <w:tcW w:type="dxa" w:w="2771"/>
          </w:tcPr>
          <w:p>
            <w:r/>
            <w:r>
              <w:rPr>
                <w:rFonts w:ascii="Times New Roman" w:hAnsi="Times New Roman"/>
                <w:b/>
                <w:sz w:val="18"/>
              </w:rPr>
              <w:t>总耗时</w:t>
            </w:r>
          </w:p>
        </w:tc>
        <w:tc>
          <w:tcPr>
            <w:tcW w:type="dxa" w:w="2771"/>
          </w:tcPr>
          <w:p>
            <w:r/>
            <w:r>
              <w:rPr>
                <w:rFonts w:ascii="Times New Roman" w:hAnsi="Times New Roman"/>
                <w:b/>
                <w:sz w:val="18"/>
              </w:rPr>
              <w:t>吞吐量</w:t>
            </w:r>
          </w:p>
        </w:tc>
      </w:tr>
      <w:tr>
        <w:tc>
          <w:tcPr>
            <w:tcW w:type="dxa" w:w="2771"/>
          </w:tcPr>
          <w:p>
            <w:r/>
            <w:r>
              <w:rPr>
                <w:rFonts w:ascii="Times New Roman" w:hAnsi="Times New Roman"/>
                <w:sz w:val="18"/>
              </w:rPr>
              <w:t>100 行</w:t>
            </w:r>
          </w:p>
        </w:tc>
        <w:tc>
          <w:tcPr>
            <w:tcW w:type="dxa" w:w="2771"/>
          </w:tcPr>
          <w:p>
            <w:r/>
            <w:r>
              <w:rPr>
                <w:rFonts w:ascii="Times New Roman" w:hAnsi="Times New Roman"/>
                <w:sz w:val="18"/>
              </w:rPr>
              <w:t>0.03s</w:t>
            </w:r>
          </w:p>
        </w:tc>
        <w:tc>
          <w:tcPr>
            <w:tcW w:type="dxa" w:w="2771"/>
          </w:tcPr>
          <w:p>
            <w:r/>
            <w:r>
              <w:rPr>
                <w:rFonts w:ascii="Times New Roman" w:hAnsi="Times New Roman"/>
                <w:sz w:val="18"/>
              </w:rPr>
              <w:t>~3,500 rows/s</w:t>
            </w:r>
          </w:p>
        </w:tc>
      </w:tr>
      <w:tr>
        <w:tc>
          <w:tcPr>
            <w:tcW w:type="dxa" w:w="2771"/>
          </w:tcPr>
          <w:p>
            <w:r/>
            <w:r>
              <w:rPr>
                <w:rFonts w:ascii="Times New Roman" w:hAnsi="Times New Roman"/>
                <w:sz w:val="18"/>
              </w:rPr>
              <w:t>1,000 行</w:t>
            </w:r>
          </w:p>
        </w:tc>
        <w:tc>
          <w:tcPr>
            <w:tcW w:type="dxa" w:w="2771"/>
          </w:tcPr>
          <w:p>
            <w:r/>
            <w:r>
              <w:rPr>
                <w:rFonts w:ascii="Times New Roman" w:hAnsi="Times New Roman"/>
                <w:sz w:val="18"/>
              </w:rPr>
              <w:t>0.07s</w:t>
            </w:r>
          </w:p>
        </w:tc>
        <w:tc>
          <w:tcPr>
            <w:tcW w:type="dxa" w:w="2771"/>
          </w:tcPr>
          <w:p>
            <w:r/>
            <w:r>
              <w:rPr>
                <w:rFonts w:ascii="Times New Roman" w:hAnsi="Times New Roman"/>
                <w:sz w:val="18"/>
              </w:rPr>
              <w:t>~16,000 rows/s</w:t>
            </w:r>
          </w:p>
        </w:tc>
      </w:tr>
      <w:tr>
        <w:tc>
          <w:tcPr>
            <w:tcW w:type="dxa" w:w="2771"/>
          </w:tcPr>
          <w:p>
            <w:r/>
            <w:r>
              <w:rPr>
                <w:rFonts w:ascii="Times New Roman" w:hAnsi="Times New Roman"/>
                <w:sz w:val="18"/>
              </w:rPr>
              <w:t>10,000 行</w:t>
            </w:r>
          </w:p>
        </w:tc>
        <w:tc>
          <w:tcPr>
            <w:tcW w:type="dxa" w:w="2771"/>
          </w:tcPr>
          <w:p>
            <w:r/>
            <w:r>
              <w:rPr>
                <w:rFonts w:ascii="Times New Roman" w:hAnsi="Times New Roman"/>
                <w:sz w:val="18"/>
              </w:rPr>
              <w:t>0.50s</w:t>
            </w:r>
          </w:p>
        </w:tc>
        <w:tc>
          <w:tcPr>
            <w:tcW w:type="dxa" w:w="2771"/>
          </w:tcPr>
          <w:p>
            <w:r/>
            <w:r>
              <w:rPr>
                <w:rFonts w:ascii="Times New Roman" w:hAnsi="Times New Roman"/>
                <w:sz w:val="18"/>
              </w:rPr>
              <w:t>~30,000 rows/s</w:t>
            </w:r>
          </w:p>
        </w:tc>
      </w:tr>
    </w:tbl>
    <w:p>
      <w:r>
        <w:t>所有测试在 Windows 11 / Python 3.13 / 单机内存环境下运行。</w:t>
      </w:r>
    </w:p>
    <w:p>
      <w:pPr>
        <w:pStyle w:val="Heading2"/>
      </w:pPr>
      <w:r>
        <w:t>7 相关工作</w:t>
      </w:r>
    </w:p>
    <w:p>
      <w:pPr>
        <w:pStyle w:val="Heading3"/>
      </w:pPr>
      <w:r>
        <w:t>7.1 传统GIS数据融合方法</w:t>
      </w:r>
    </w:p>
    <w:p>
      <w:r>
        <w:t>传统GIS数据融合主要依赖桌面工具（ArcGIS、QGIS）的手动操作或 ETL 流水线（FME、GeoKettle）。这些方法虽然功能完备，但缺乏自动化的语义理解能力，用户需手动指定每个字段的映射关系。</w:t>
      </w:r>
    </w:p>
    <w:p>
      <w:pPr>
        <w:pStyle w:val="Heading3"/>
      </w:pPr>
      <w:r>
        <w:t>7.2 基于规则的空间数据集成</w:t>
      </w:r>
    </w:p>
    <w:p>
      <w:r>
        <w:t>OGC标准体系（WFS、WCS、SensorThings API）定义了空间数据的标准化访问接口，但主要解决数据访问层面的互操作性，不涉及语义层面的自动匹配。GeoSPARQL等语义Web标准提供了本体层面的地理空间语义模型，但实现复杂度高，实际采用率有限。</w:t>
      </w:r>
    </w:p>
    <w:p>
      <w:pPr>
        <w:pStyle w:val="Heading3"/>
      </w:pPr>
      <w:r>
        <w:t>7.3 LLM驱动的数据处理</w:t>
      </w:r>
    </w:p>
    <w:p>
      <w:r>
        <w:t>近期工作表明LLM在数据清洗、模式匹配、自然语言到SQL转换等任务上表现出色。然而，将LLM直接用于多模态空间数据融合的策略选择仍面临可靠性挑战——LLM可能"幻觉"出不存在的字段名或选择不适用的融合策略。MMFE采用的"确定性引擎 + LLM编排"模式，将策略选择的可靠性交给确定性的策略矩阵，将用户意图理解交给LLM，实现了两者的优势互补。</w:t>
      </w:r>
    </w:p>
    <w:p>
      <w:pPr>
        <w:pStyle w:val="Heading2"/>
      </w:pPr>
      <w:r>
        <w:t>8 结论</w:t>
      </w:r>
    </w:p>
    <w:p>
      <w:r>
        <w:t>本文提出并实现了一个面向GIS多模态空间数据智能融合引擎（MMFE）。该引擎的核心贡献包括：</w:t>
      </w:r>
    </w:p>
    <w:p>
      <w:r>
        <w:t xml:space="preserve">1. </w:t>
      </w:r>
      <w:r>
        <w:rPr>
          <w:b/>
        </w:rPr>
        <w:t>五阶段流水线架构</w:t>
      </w:r>
      <w:r>
        <w:t>：画像 → 评估 → 对齐 → 融合 → 验证的清晰流程，每个阶段有明确的输入输出接口</w:t>
      </w:r>
    </w:p>
    <w:p>
      <w:r>
        <w:t xml:space="preserve">2. </w:t>
      </w:r>
      <w:r>
        <w:rPr>
          <w:b/>
        </w:rPr>
        <w:t>策略矩阵 + 数据感知评分</w:t>
      </w:r>
      <w:r>
        <w:t>：通过11个类型对到10种策略的确定性映射提供粗筛，再通过基于IoU、几何类型、数据量比率的评分器进行精选</w:t>
      </w:r>
    </w:p>
    <w:p>
      <w:r>
        <w:t xml:space="preserve">3. </w:t>
      </w:r>
      <w:r>
        <w:rPr>
          <w:b/>
        </w:rPr>
        <w:t>五层渐进式语义字段匹配</w:t>
      </w:r>
      <w:r>
        <w:t>：精确匹配 → 10组中英文等价组 → 向量嵌入语义匹配 → 单位感知匹配 → 模糊匹配的层级递进</w:t>
      </w:r>
    </w:p>
    <w:p>
      <w:r>
        <w:t xml:space="preserve">4. </w:t>
      </w:r>
      <w:r>
        <w:rPr>
          <w:b/>
        </w:rPr>
        <w:t>自动单位检测与转换</w:t>
      </w:r>
      <w:r>
        <w:t>：识别列名中的度量单位后缀，自动执行数值转换，消除跨数据源的单位不一致问题</w:t>
      </w:r>
    </w:p>
    <w:p>
      <w:r>
        <w:t xml:space="preserve">5. </w:t>
      </w:r>
      <w:r>
        <w:rPr>
          <w:b/>
        </w:rPr>
        <w:t>多源融合编排</w:t>
      </w:r>
      <w:r>
        <w:t>：支持 N &gt; 2 数据源的自动逐步融合，按类型优先级排序确保矢量作为空间基座</w:t>
      </w:r>
    </w:p>
    <w:p>
      <w:r>
        <w:t xml:space="preserve">6. </w:t>
      </w:r>
      <w:r>
        <w:rPr>
          <w:b/>
        </w:rPr>
        <w:t>增强质量验证</w:t>
      </w:r>
      <w:r>
        <w:t>：7+项质量检查（含异常值检测、微面多边形、列完整性），返回详细诊断报告</w:t>
      </w:r>
    </w:p>
    <w:p>
      <w:r>
        <w:t xml:space="preserve">7. </w:t>
      </w:r>
      <w:r>
        <w:rPr>
          <w:b/>
        </w:rPr>
        <w:t>LLM增强策略路由</w:t>
      </w:r>
      <w:r>
        <w:t>：Gemini 2.0 Flash根据用户意图 + 兼容性报告智能推荐融合策略</w:t>
      </w:r>
    </w:p>
    <w:p>
      <w:r>
        <w:t xml:space="preserve">8. </w:t>
      </w:r>
      <w:r>
        <w:rPr>
          <w:b/>
        </w:rPr>
        <w:t>地理知识图谱</w:t>
      </w:r>
      <w:r>
        <w:t>：networkx有向图建模空间实体关系，支持邻居查询、路径搜索、类型筛选</w:t>
      </w:r>
    </w:p>
    <w:p>
      <w:r>
        <w:t xml:space="preserve">9. </w:t>
      </w:r>
      <w:r>
        <w:rPr>
          <w:b/>
        </w:rPr>
        <w:t>分布式/核外计算</w:t>
      </w:r>
      <w:r>
        <w:t>：大数据集自动分块读取和处理，透明切换，避免OOM</w:t>
      </w:r>
    </w:p>
    <w:p>
      <w:r>
        <w:t>实验验证表明，引擎在147个测试用例（覆盖10种策略、5种数据模态、5层语义匹配、LLM策略路由、嵌入语义匹配、知识图谱构建与查询、分块读取与融合、多源编排、增强质量验证等场景）中通过率100%，并已成功集成到拥有1330+测试用例的生产级GIS，未引入任何新的回归故障。9项核心量化基准测试全部通过：语义匹配 F1=0.98、策略推荐准确率100%、单位转换零误差、质量评分均值0.96、缺陷检出率100%、模态/策略覆盖率100%。</w:t>
      </w:r>
    </w:p>
    <w:p>
      <w:r>
        <w:t>完成了四大智能化增强：向量嵌入语义匹配（Gemini text-embedding-004）将字段匹配从字符级提升到语义级、LLM增强策略路由（Gemini 2.0 Flash）实现意图感知的策略推荐、地理知识图谱（networkx DiGraph）从宽表合并转向实体级融合、分布式/核外计算（dask + fiona）突破内存瓶颈支持大数据集处理。</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