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4233A" w:val="clear"/>
          </w:tcPr>
          <w:p>
            <w:pPr>
              <w:spacing w:before="440" w:after="180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GIS Data Agent</w:t>
            </w:r>
          </w:p>
          <w:p>
            <w:pPr>
              <w:spacing w:after="180"/>
            </w:pPr>
            <w:r>
              <w:rPr>
                <w:rFonts w:ascii="Microsoft YaHei" w:cs="Microsoft YaHei" w:eastAsia="Microsoft YaHei" w:hAnsi="Microsoft YaHei"/>
                <w:b/>
                <w:bCs/>
                <w:color w:val="D8F3EE"/>
                <w:sz w:val="34"/>
                <w:szCs w:val="34"/>
              </w:rPr>
              <w:t xml:space="preserve">统一 NL2Semantic2SQL 技术架构设计</w:t>
            </w:r>
          </w:p>
          <w:p>
            <w:pPr>
              <w:spacing w:after="400"/>
            </w:pPr>
            <w:r>
              <w:rPr>
                <w:rFonts w:ascii="Microsoft YaHei" w:cs="Microsoft YaHei" w:eastAsia="Microsoft YaHei" w:hAnsi="Microsoft YaHei"/>
                <w:color w:val="FFFFFF"/>
                <w:sz w:val="21"/>
                <w:szCs w:val="21"/>
              </w:rPr>
              <w:t xml:space="preserve">元数据 · 本体 · 语义层 · SemanticQueryIR · Benchmark</w:t>
            </w:r>
          </w:p>
        </w:tc>
      </w:tr>
    </w:tbl>
    <w:p>
      <w:pPr>
        <w:spacing w:before="240" w:after="60"/>
      </w:pPr>
      <w:r>
        <w:rPr>
          <w:b/>
          <w:bCs/>
          <w:color w:val="087F73"/>
          <w:sz w:val="24"/>
          <w:szCs w:val="24"/>
        </w:rPr>
        <w:t xml:space="preserve">技术架构评审稿</w:t>
      </w:r>
    </w:p>
    <w:p>
      <w:pPr>
        <w:spacing w:after="240"/>
      </w:pPr>
      <w:r>
        <w:rPr>
          <w:color w:val="5B6679"/>
          <w:sz w:val="20"/>
          <w:szCs w:val="20"/>
        </w:rPr>
        <w:t xml:space="preserve">版本 v0.2  |  2026-08-20  |  Proposed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设计结论</w:t>
      </w:r>
    </w:p>
    <w:p>
      <w:pPr>
        <w:spacing w:after="120" w:line="310"/>
      </w:pPr>
      <w:r>
        <w:t xml:space="preserve">GIS Data Agent 必须建设</w:t>
      </w:r>
      <w:r>
        <w:rPr>
          <w:b/>
          <w:bCs/>
        </w:rPr>
        <w:t xml:space="preserve">一条统一的语义查询主链</w:t>
      </w:r>
      <w:r>
        <w:t xml:space="preserve">，而不是分别维护“数仓 NL2SQL”和“GIS NL2SQL”两套系统。目标形态是：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EEF3F6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87F73"/>
                <w:sz w:val="17"/>
                <w:szCs w:val="17"/>
              </w:rPr>
              <w:t xml:space="preserve">TEXT  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自然语言 -&gt; 业务语义计划 -&gt; 确定性校验 -&gt; 逻辑计划 -&gt; 方言编译 -&gt; 受治理只读执行 -&gt; 证据</w:t>
            </w:r>
          </w:p>
        </w:tc>
      </w:tr>
    </w:tbl>
    <w:p>
      <w:pPr>
        <w:spacing w:after="120" w:line="310"/>
      </w:pPr>
      <w:r>
        <w:t xml:space="preserve">其中，LLM 的职责是理解用户意图并提出受限的逻辑语义计划；LLM 不拥有物理表、物理字段、SQL 函数、连接路径或执行引擎的选择权。元数据控制面负责陈述真实资产、质量、治理和运行状态；物理绑定与 SQL 生成仅能由绑定了该元数据版本的审核语义层和确定性编译器完成。</w:t>
      </w:r>
    </w:p>
    <w:p>
      <w:pPr>
        <w:spacing w:after="120" w:line="310"/>
      </w:pPr>
      <w:r>
        <w:t xml:space="preserve">首批产品范围是以下两个已登记的虚拟 PostgreSQL 数据源：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逻辑数据源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控制面 source id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业务数据库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授权 schema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当前数据接入原则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Liveability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liveability_data_20260730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public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元数据发现与虚拟入湖；不复制、不持久化业务行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Makani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makani_sync_full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public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元数据发现与虚拟入湖；不复制、不持久化业务行</w:t>
            </w:r>
          </w:p>
        </w:tc>
      </w:tr>
    </w:tbl>
    <w:p>
      <w:pPr>
        <w:spacing w:after="120" w:line="310"/>
      </w:pPr>
      <w:r>
        <w:t xml:space="preserve">目标路线不是立即删除现有链路。采用 strangler 迁移：现有治理式 SQL 路线继续作为生产基线；SemanticQueryIR 路线按能力集完成 shadow、配对评测、canary 和默认服务的晋级。</w:t>
      </w:r>
    </w:p>
    <w:p>
      <w:pPr>
        <w:pStyle w:val="Heading1"/>
      </w:pPr>
      <w:r>
        <w:t xml:space="preserve">2. 范围、目标和约束</w:t>
      </w:r>
    </w:p>
    <w:p>
      <w:pPr>
        <w:pStyle w:val="Heading2"/>
      </w:pPr>
      <w:r>
        <w:t xml:space="preserve">2.1 产品目标</w:t>
      </w:r>
    </w:p>
    <w:p>
      <w:pPr>
        <w:spacing w:after="120" w:line="310"/>
      </w:pPr>
      <w:r>
        <w:t xml:space="preserve">系统通过一个用户入口覆盖三类问题：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工作负载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示例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成功标准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通用业务/数仓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“按设施类别统计数量”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口径、维度、粒度、关联和过滤正确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GIS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“各行政区内公园面积是多少”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空间实体角色、谓词、CRS 与单位正确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混合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“距地铁站 1 公里内的设施数，按区域汇总”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业务聚合与空间关系在同一逻辑计划中成立</w:t>
            </w:r>
          </w:p>
        </w:tc>
      </w:tr>
    </w:tbl>
    <w:p>
      <w:pPr>
        <w:spacing w:after="120" w:line="310"/>
      </w:pPr>
      <w:r>
        <w:t xml:space="preserve">产品还必须使人工验证者在 UI 中看到：数据源登记与发现状态、本体概念与关系、语义资产及其物理绑定、查询采取的路线和证据、冻结 benchmark 及基线/候选对比。</w:t>
      </w:r>
    </w:p>
    <w:p>
      <w:pPr>
        <w:pStyle w:val="Heading2"/>
      </w:pPr>
      <w:r>
        <w:t xml:space="preserve">2.2 非目标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不承诺 v1 支持任意 SQL、任意窗口函数、递归查询或任意表达式。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不允许模型直接执行 SQL、选择任意连接串或读取未准入数据源。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不以自动发现结果取代业务审核；自动生成的本体/语义资产默认是 draft。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不支持任意跨库行级 join 或空间 join。跨源能力的当前边界见第 10 节。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不为目标架构预先拆分微服务。先在现有模块化单体中完成合同和能力闭环。</w:t>
      </w:r>
    </w:p>
    <w:p>
      <w:pPr>
        <w:pStyle w:val="Heading2"/>
      </w:pPr>
      <w:r>
        <w:t xml:space="preserve">2.3 设计假设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业务源可按网络策略暂时不可达；网络或基础设施失败必须和模型/语义失败分开统计。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首期执行引擎是 PostgreSQL/PostGIS。DuckDB Spatial 等多引擎支持必须通过相同 IR 的等价性测试才可放行。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当前 UI、控制面数据库和 source registry 是产品底座，不重建平行控制面。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本文的性能阈值、覆盖率和默认切流，必须由冻结 benchmark 和真实运行数据验证，不能由设计文档直接“宣布成立”。</w:t>
      </w:r>
    </w:p>
    <w:p>
      <w:pPr>
        <w:pStyle w:val="Heading1"/>
      </w:pPr>
      <w:r>
        <w:t xml:space="preserve">3. 共同产品底座</w:t>
      </w:r>
    </w:p>
    <w:p>
      <w:pPr>
        <w:spacing w:after="120" w:line="310"/>
      </w:pPr>
      <w:r>
        <w:t xml:space="preserve">无论基线还是候选路线，均不得绕过以下治理边界。元数据控制面是横切的事实与准入层：它不是只在首次接入时运行的目录，而是同时参与上下文筛选、执行准入和执行后的反馈。</w:t>
      </w:r>
    </w:p>
    <w:p>
      <w:pPr>
        <w:keepNext/>
        <w:spacing w:before="160" w:after="70"/>
        <w:jc w:val="center"/>
      </w:pPr>
      <w:r>
        <w:drawing>
          <wp:inline distT="0" distB="0" distL="0" distR="0">
            <wp:extent cx="6191250" cy="2914650"/>
            <wp:effectExtent t="0" r="0" b="0" l="0"/>
            <wp:docPr id="1" name="diagram-1" descr="NL2Semantic2SQL 架构图 1" title="架构图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679"/>
          <w:sz w:val="18"/>
          <w:szCs w:val="18"/>
        </w:rPr>
        <w:t xml:space="preserve">图 1  common platform</w:t>
      </w:r>
    </w:p>
    <w:p>
      <w:pPr>
        <w:pStyle w:val="Heading2"/>
      </w:pPr>
      <w:r>
        <w:t xml:space="preserve">3.1 虚拟入湖和数据源准入</w:t>
      </w:r>
    </w:p>
    <w:p>
      <w:pPr>
        <w:spacing w:after="120" w:line="310"/>
      </w:pPr>
      <w:r>
        <w:t xml:space="preserve">“虚拟入湖”在本设计中是控制面能力，不是把源表搬入新的数据仓库：</w:t>
      </w:r>
    </w:p>
    <w:p>
      <w:pPr>
        <w:spacing w:after="80" w:line="290"/>
        <w:ind w:left="600" w:hanging="340"/>
      </w:pPr>
      <w:r>
        <w:t xml:space="preserve">1. </w:t>
      </w:r>
      <w:r>
        <w:t xml:space="preserve">Source connector 在控制面登记连接、owner、授权 database/schema、健康状态及只读策略。</w:t>
      </w:r>
    </w:p>
    <w:p>
      <w:pPr>
        <w:spacing w:after="80" w:line="290"/>
        <w:ind w:left="600" w:hanging="340"/>
      </w:pPr>
      <w:r>
        <w:t xml:space="preserve">2. </w:t>
      </w:r>
      <w:r>
        <w:t xml:space="preserve">Discovery 仅提取 schema、表、列、主外键、geometry/SRID、枚举候选、统计摘要和 fingerprint。</w:t>
      </w:r>
    </w:p>
    <w:p>
      <w:pPr>
        <w:spacing w:after="80" w:line="290"/>
        <w:ind w:left="600" w:hanging="340"/>
      </w:pPr>
      <w:r>
        <w:t xml:space="preserve">3. </w:t>
      </w:r>
      <w:r>
        <w:t xml:space="preserve">资源目录保存技术元数据和数据字典溯源，业务行保持在源库。</w:t>
      </w:r>
    </w:p>
    <w:p>
      <w:pPr>
        <w:spacing w:after="80" w:line="290"/>
        <w:ind w:left="600" w:hanging="340"/>
      </w:pPr>
      <w:r>
        <w:t xml:space="preserve">4. </w:t>
      </w:r>
      <w:r>
        <w:t xml:space="preserve">每次编译和执行都绑定 </w:t>
      </w:r>
      <w:r>
        <w:rPr>
          <w:rFonts w:ascii="Courier New" w:cs="Courier New" w:eastAsia="Courier New" w:hAnsi="Courier New"/>
          <w:color w:val="087F73"/>
        </w:rPr>
        <w:t xml:space="preserve">source_id + authorized schema + discovery fingerprint + semantic version</w:t>
      </w:r>
      <w:r>
        <w:t xml:space="preserve">。</w:t>
      </w:r>
    </w:p>
    <w:p>
      <w:pPr>
        <w:spacing w:after="80" w:line="290"/>
        <w:ind w:left="600" w:hanging="340"/>
      </w:pPr>
      <w:r>
        <w:t xml:space="preserve">5. </w:t>
      </w:r>
      <w:r>
        <w:t xml:space="preserve">source 发生不可接受的 schema 漂移，相关语义资产失效或降为 draft，不能继续静默执行。</w:t>
      </w:r>
    </w:p>
    <w:p>
      <w:pPr>
        <w:spacing w:after="120" w:line="310"/>
      </w:pPr>
      <w:r>
        <w:t xml:space="preserve">模型永远看不到连接凭据；运行时只允许 source registry 已登记、当前主体有权访问且通过 source admission 的只读查询。</w:t>
      </w:r>
    </w:p>
    <w:p>
      <w:pPr>
        <w:pStyle w:val="Heading2"/>
      </w:pPr>
      <w:r>
        <w:t xml:space="preserve">3.2 权威模型：本体与语义层不是同一件事</w:t>
      </w:r>
    </w:p>
    <w:p>
      <w:pPr>
        <w:spacing w:after="120" w:line="310"/>
      </w:pPr>
      <w:r>
        <w:t xml:space="preserve">本体回答“业务世界中有什么以及它们如何关联”；语义层回答“在当前可执行数据产品中，这个业务概念准确绑定到什么，以及以何种粒度、单位、权限和版本执行”。二者相互依赖，但权限边界不同。</w:t>
      </w:r>
    </w:p>
    <w:p>
      <w:pPr>
        <w:keepNext/>
        <w:spacing w:before="160" w:after="70"/>
        <w:jc w:val="center"/>
      </w:pPr>
      <w:r>
        <w:drawing>
          <wp:inline distT="0" distB="0" distL="0" distR="0">
            <wp:extent cx="6191250" cy="2295525"/>
            <wp:effectExtent t="0" r="0" b="0" l="0"/>
            <wp:docPr id="1" name="diagram-2" descr="NL2Semantic2SQL 架构图 2" title="架构图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679"/>
          <w:sz w:val="18"/>
          <w:szCs w:val="18"/>
        </w:rPr>
        <w:t xml:space="preserve">图 2  ontology semantic authority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资产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写权威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运行时作用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不承担的职责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虚拟 source/resource version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Source registry 与发现流程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界定可访问表、schema、schema 指纹与只读执行边界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不解释业务术语或 KPI 口径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本体/领域模型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Canonical ontology 及其审核流程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多语言概念对齐、实体角色、上位/同义关系、可解释性和候选检索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不直接映射表字段，不直接生成 SQL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SemanticModelVersion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Canonical semantic model 审核流程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实体/字段逻辑引用、物理绑定、grain、单位、CRS、敏感度、审核关系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不把未审核的技术关系伪装成业务事实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MetricDefinitionVersion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Canonical metric authority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KPI 口径、可用维度、时间/空间约束、服务端计划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不替代开放式 detail/GIS 查询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CertifiedQueryTemplate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模板审核流程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高频稳定查询的参数化执行合同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不允许参数改变表名、SQL 片段或权限范围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搜索/向量索引、few-shot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可重建 read projection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缩小候选上下文、提供解释证据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不能单独授予执行资格</w:t>
            </w:r>
          </w:p>
        </w:tc>
      </w:tr>
    </w:tbl>
    <w:p>
      <w:pPr>
        <w:spacing w:after="120" w:line="310"/>
      </w:pPr>
      <w:r>
        <w:t xml:space="preserve">因此，在智能问数中的实际顺序是：本体帮助系统理解“公园”“facility”“مرفق”等是否指向同一业务概念，语义层再判定该概念当前是否存在 active、已审核、可执行的字段/表/关系绑定；只有后者允许进入计划与编译。</w:t>
      </w:r>
    </w:p>
    <w:p>
      <w:pPr>
        <w:pStyle w:val="Heading2"/>
      </w:pPr>
      <w:r>
        <w:t xml:space="preserve">3.3 元数据与 NL2Semantic2SQL 的关系</w:t>
      </w:r>
    </w:p>
    <w:p>
      <w:pPr>
        <w:spacing w:after="120" w:line="310"/>
      </w:pPr>
      <w:r>
        <w:t xml:space="preserve">元数据是整个 NL2Semantic2SQL 的事实底座和控制证据，但元数据本身不等同于本体或语义层。它回答“真实数据资产当前是什么状态”，本体在其上形成业务理解，语义层再形成可执行绑定。</w:t>
      </w:r>
    </w:p>
    <w:p>
      <w:pPr>
        <w:keepNext/>
        <w:spacing w:before="160" w:after="70"/>
        <w:jc w:val="center"/>
      </w:pPr>
      <w:r>
        <w:drawing>
          <wp:inline distT="0" distB="0" distL="0" distR="0">
            <wp:extent cx="6191250" cy="3533775"/>
            <wp:effectExtent t="0" r="0" b="0" l="0"/>
            <wp:docPr id="1" name="diagram-3" descr="NL2Semantic2SQL 架构图 3" title="架构图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679"/>
          <w:sz w:val="18"/>
          <w:szCs w:val="18"/>
        </w:rPr>
        <w:t xml:space="preserve">图 3  metadata relationship</w:t>
      </w:r>
    </w:p>
    <w:p>
      <w:pPr>
        <w:spacing w:after="120" w:line="310"/>
      </w:pPr>
      <w:r>
        <w:t xml:space="preserve">元数据需要覆盖四种类型：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元数据类型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典型内容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在智能问数中的作用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技术元数据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数据库、schema、表、列、类型、PK/FK、geometry 类型、SRID、索引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界定真实数据边界；生成本体/语义候选；验证字段、关系和空间能力；为 compiler 提供受审核 binding 的技术依据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Profile/质量元数据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行数估计、空值率、枚举候选、数值范围、唯一性、更新时间、质量规则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帮助值域理解、过滤值解析、粒度判断、预算估算和结果可信度解释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治理元数据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owner/steward、租户、敏感度、字段/行级权限、认证状态、用途限制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在 ContextAsset 检索、IR 校验和 source admission 中实施 fail-closed 权限与资产准入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运营/执行元数据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健康状态、最后发现时间、schema drift、血缘、查询使用、失败分类、延迟和成本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判断数据源是否可执行；触发语义失效/重审；支持 Benchmark、运营监控和资产持续改进</w:t>
            </w:r>
          </w:p>
        </w:tc>
      </w:tr>
    </w:tbl>
    <w:p>
      <w:pPr>
        <w:pStyle w:val="Heading3"/>
      </w:pPr>
      <w:r>
        <w:t xml:space="preserve">3.3.1 元数据、本体和语义层的分工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层次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核心问题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产生方式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是否能直接授予执行资格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元数据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“源库里真实存在什么、状态如何？”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自动发现、profile、数据字典导入、运行反馈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否；技术存在不等于业务正确或已授权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本体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“这些数据代表什么业务对象和关系？”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元数据候选 + 数据字典 + 领域专家审核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否；提供理解、检索和关系语义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语义层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“逻辑对象如何在当前版本上安全执行？”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本体概念 + 技术/治理元数据 + owner/steward 审核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是；仅 active、版本绑定的资产可被 validator/compiler 使用</w:t>
            </w:r>
          </w:p>
        </w:tc>
      </w:tr>
    </w:tbl>
    <w:p>
      <w:pPr>
        <w:spacing w:after="120" w:line="310"/>
      </w:pPr>
      <w:r>
        <w:t xml:space="preserve">元数据发现可以自动创建 draft 概念、字段和关系候选，但不得自动把 PK/FK、相似字段名或空间相交推断升级为业务关系。业务含义由本体审核，物理执行资格由语义层审核。</w:t>
      </w:r>
    </w:p>
    <w:p>
      <w:pPr>
        <w:pStyle w:val="Heading3"/>
      </w:pPr>
      <w:r>
        <w:t xml:space="preserve">3.3.2 元数据在查询运行时的作用</w:t>
      </w:r>
    </w:p>
    <w:p>
      <w:pPr>
        <w:spacing w:after="120" w:line="310"/>
      </w:pPr>
      <w:r>
        <w:t xml:space="preserve">一次查询不能只在 onboarding 时使用元数据，而应在运行时完成以下闭环：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EEF3F6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87F73"/>
                <w:sz w:val="17"/>
                <w:szCs w:val="17"/>
              </w:rPr>
              <w:t xml:space="preserve">TEXT  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1. Context resolution：根据技术、业务、治理和使用元数据筛选候选资产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2. IR validation：验证 entity/field/relation、类型、grain、geometry、SRID 和权限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3. Compilation：从 active semantic binding 获取物理表、字段和方言能力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4. Source admission：核对 source/schema、健康状态、resource version 和 discovery fingerprint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5. Execution evidence：记录实际 source、数据版本、计划、结果指纹、延迟和失败分类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6. Feedback：把失败/使用证据写回运营元数据，进入资产修订和重新审核队列</w:t>
            </w:r>
          </w:p>
        </w:tc>
      </w:tr>
    </w:tbl>
    <w:p>
      <w:pPr>
        <w:pStyle w:val="Heading3"/>
      </w:pPr>
      <w:r>
        <w:t xml:space="preserve">3.3.3 Schema drift 和版本失效策略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Discovery 每次产生不可变 </w:t>
      </w:r>
      <w:r>
        <w:rPr>
          <w:rFonts w:ascii="Courier New" w:cs="Courier New" w:eastAsia="Courier New" w:hAnsi="Courier New"/>
          <w:color w:val="087F73"/>
        </w:rPr>
        <w:t xml:space="preserve">resource version</w:t>
      </w:r>
      <w:r>
        <w:t xml:space="preserve"> 和 </w:t>
      </w:r>
      <w:r>
        <w:rPr>
          <w:rFonts w:ascii="Courier New" w:cs="Courier New" w:eastAsia="Courier New" w:hAnsi="Courier New"/>
          <w:color w:val="087F73"/>
        </w:rPr>
        <w:t xml:space="preserve">discovery fingerprint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SemanticModelVersion、MetricDefinitionVersion、TemplateVersion 和 Benchmark manifest 必须绑定相应 metadata fingerprint。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表/字段删除、类型变化、geometry/SRID 变化、PK/FK 变化或权限收缩属于阻断性漂移；相关 active binding 自动进入 </w:t>
      </w:r>
      <w:r>
        <w:rPr>
          <w:rFonts w:ascii="Courier New" w:cs="Courier New" w:eastAsia="Courier New" w:hAnsi="Courier New"/>
          <w:color w:val="087F73"/>
        </w:rPr>
        <w:t xml:space="preserve">suspended</w:t>
      </w:r>
      <w:r>
        <w:t xml:space="preserve">，禁止 compiler 继续使用。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新增表/字段默认只生成 draft candidate，不自动进入模型 prompt 或执行路径。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非阻断性 profile 漂移可继续只读执行，但必须更新预算、质量 caveat 和 evidence。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Benchmark 运行的 metadata/semantic fingerprint 与冻结 manifest 不一致时，该运行不可用于配对比较或发布结论。</w:t>
      </w:r>
    </w:p>
    <w:p>
      <w:pPr>
        <w:spacing w:after="120" w:line="310"/>
      </w:pPr>
      <w:r>
        <w:t xml:space="preserve">因此，元数据不是另一个并列的“提示库”，而是连接真实数据源、本体、语义层、IR 校验、编译执行和 Benchmark 的版本化控制平面。</w:t>
      </w:r>
    </w:p>
    <w:p>
      <w:pPr>
        <w:pStyle w:val="Heading3"/>
      </w:pPr>
      <w:r>
        <w:t xml:space="preserve">3.3.4 元数据在两条技术路线中的不同位置</w:t>
      </w:r>
    </w:p>
    <w:p>
      <w:pPr>
        <w:spacing w:after="120" w:line="310"/>
      </w:pPr>
      <w:r>
        <w:t xml:space="preserve">两条路线共享同一份元数据控制面，差别不在于“是否使用元数据”，而在于元数据是在 SQL 生成之后主要用于拦截，还是在生成 SQL 之前就约束了逻辑计划和物理绑定。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决策点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基线 </w:t>
            </w:r>
            <w:r>
              <w:rPr>
                <w:rFonts w:ascii="Courier New" w:cs="Courier New" w:eastAsia="Courier New" w:hAnsi="Courier New"/>
                <w:b/>
                <w:bCs/>
                <w:color w:val="087F73"/>
                <w:sz w:val="18"/>
                <w:szCs w:val="18"/>
              </w:rPr>
              <w:t xml:space="preserve">baseline_sql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SemanticQueryIR </w:t>
            </w:r>
            <w:r>
              <w:rPr>
                <w:rFonts w:ascii="Courier New" w:cs="Courier New" w:eastAsia="Courier New" w:hAnsi="Courier New"/>
                <w:b/>
                <w:bCs/>
                <w:color w:val="087F73"/>
                <w:sz w:val="18"/>
                <w:szCs w:val="18"/>
              </w:rPr>
              <w:t xml:space="preserve">semantic_ir_experimental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共同的不可绕过规则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请求准入与上下文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用 source/schema 白名单、治理标签和资源目录限制 grounding 候选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用相同信息筛掉无权、过期、漂移或非 active 的 ContextAsset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无已登记 source、授权 schema、主体权限和有效 fingerprint 即拒绝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模型输出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可提议物理表、字段和 SQL；随后以技术/治理元数据、语义 binding 和 SQL guard 复核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LLM/规则仅可输出逻辑 entity、field、relation、metric 和操作；不得携带物理标识符或 SQL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元数据从不直接把技术存在升级为业务正确或执行资格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语义与物理校验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重点检查 SQL 中的表、列、schema、函数、空间谓词和 LIMIT 是否仍处于许可边界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在 IR 转 LogicalPlan 前检查资产版本、类型、grain、geometry/SRID、关系角色、权限和预算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不通过时返回结构化失败，不能猜测或越权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编译与执行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已通过校验的 SQL 交由受治理执行器；执行器再次核对 source admission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compiler 从 active semantic binding 获取唯一物理表/字段/方言能力，生成参数化 PhysicalPlan，再经 source admission 执行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物理执行必须绑定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source + resource version + metadata fingerprint + semantic version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运行反馈与评测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 记录实际 SQL、资源和失败，回写健康/使用/失败元数据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 额外记录 IR、validator、LogicalPlan、compiler 和 binding，回写同一控制面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Benchmark 仅在 metadata/ontology/semantic 指纹一致时允许做配对结论</w:t>
            </w:r>
          </w:p>
        </w:tc>
      </w:tr>
    </w:tbl>
    <w:p>
      <w:pPr>
        <w:spacing w:after="120" w:line="310"/>
      </w:pPr>
      <w:r>
        <w:t xml:space="preserve">这一定义了两条路线的可验证差异：基线可利用元数据降低风险，但自由问数仍由模型先形成物理 SQL；IR 路线把元数据约束前移为资产解析、IR 校验、确定性物理绑定和编译的输入。前者是当前生产对照，后者是待通过真实配对 Benchmark 验证的目标形态，不能仅凭设计宣称效果更好。</w:t>
      </w:r>
    </w:p>
    <w:p>
      <w:pPr>
        <w:pStyle w:val="Heading1"/>
      </w:pPr>
      <w:r>
        <w:t xml:space="preserve">4. 基线技术架构：治理式 LLM SQL</w:t>
      </w:r>
    </w:p>
    <w:p>
      <w:pPr>
        <w:spacing w:after="120" w:line="310"/>
      </w:pPr>
      <w:r>
        <w:t xml:space="preserve">基线是当前生产对照，不等同于“裸 NL2SQL”。其自由问数分支允许模型提出物理 SQL，再由大量治理、语义验证和安全措施约束。</w:t>
      </w:r>
    </w:p>
    <w:p>
      <w:pPr>
        <w:keepNext/>
        <w:spacing w:before="160" w:after="70"/>
        <w:jc w:val="center"/>
      </w:pPr>
      <w:r>
        <w:drawing>
          <wp:inline distT="0" distB="0" distL="0" distR="0">
            <wp:extent cx="6191250" cy="2295525"/>
            <wp:effectExtent t="0" r="0" b="0" l="0"/>
            <wp:docPr id="1" name="diagram-4" descr="NL2Semantic2SQL 架构图 4" title="架构图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679"/>
          <w:sz w:val="18"/>
          <w:szCs w:val="18"/>
        </w:rPr>
        <w:t xml:space="preserve">图 4  baseline architecture</w:t>
      </w:r>
    </w:p>
    <w:p>
      <w:pPr>
        <w:spacing w:after="120" w:line="310"/>
      </w:pPr>
      <w:r>
        <w:t xml:space="preserve">在基线路线中，元数据一方面提供 source scope、资源目录、治理标签和空间技术约束，另一方面在 SQL 已生成后校验物理标识符是否仍在许可边界，并把执行证据反馈到运营元数据。它能大幅降低越权和漂移风险，但不能改变自由问数先由模型生成物理 SQL 这一结构事实。</w:t>
      </w:r>
    </w:p>
    <w:p>
      <w:pPr>
        <w:pStyle w:val="Heading2"/>
      </w:pPr>
      <w:r>
        <w:t xml:space="preserve">4.1 基线优点与结构限制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现有优势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结构限制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只读、source/schema 白名单、运行时 guard、行数限制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语义风险多在 SQL 形成后才能拦截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业务指标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唯一命中审核指标合同可走服务端确定性模板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其他 KPI/聚合仍可能被模型直接写为 SQL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GIS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现有 grounding 和 semantic rewrite 已积累空间规则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空间角色、SRID、单位等一部分仍是事后 SQL 修补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可诊断性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保存 SQL、修正与执行证据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难以精确区分理解、资产、计划、编译和 SQL 修补的失败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扩展性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可覆盖迁移期暂未建模的 SQL 特性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不宜继续靠扩大 prompt 和 rewrite 规则规模扩展</w:t>
            </w:r>
          </w:p>
        </w:tc>
      </w:tr>
    </w:tbl>
    <w:p>
      <w:pPr>
        <w:spacing w:after="120" w:line="310"/>
      </w:pPr>
      <w:r>
        <w:t xml:space="preserve">当前运行入口为 </w:t>
      </w:r>
      <w:r>
        <w:rPr>
          <w:rFonts w:ascii="Courier New" w:cs="Courier New" w:eastAsia="Courier New" w:hAnsi="Courier New"/>
          <w:color w:val="087F73"/>
        </w:rPr>
        <w:t xml:space="preserve">run_governed_virtual_nl2sql(..., execution_profile="baseline_sql")</w:t>
      </w:r>
      <w:r>
        <w:t xml:space="preserve">。它继续保留，直至具体 capability 通过新路线的发布门。</w:t>
      </w:r>
    </w:p>
    <w:p>
      <w:pPr>
        <w:pStyle w:val="Heading1"/>
      </w:pPr>
      <w:r>
        <w:t xml:space="preserve">5. 目标技术架构：统一 SemanticQueryIR 路线</w:t>
      </w:r>
    </w:p>
    <w:p>
      <w:pPr>
        <w:spacing w:after="120" w:line="310"/>
      </w:pPr>
      <w:r>
        <w:t xml:space="preserve">候选路线将“模型产生 SQL”改为“模型或规则产生受限的逻辑语义计划”。GIS 是 IR 的能力组合，而不是一条平行 pipeline。</w:t>
      </w:r>
    </w:p>
    <w:p>
      <w:pPr>
        <w:keepNext/>
        <w:spacing w:before="160" w:after="70"/>
        <w:jc w:val="center"/>
      </w:pPr>
      <w:r>
        <w:drawing>
          <wp:inline distT="0" distB="0" distL="0" distR="0">
            <wp:extent cx="6191250" cy="2914650"/>
            <wp:effectExtent t="0" r="0" b="0" l="0"/>
            <wp:docPr id="1" name="diagram-5" descr="NL2Semantic2SQL 架构图 5" title="架构图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679"/>
          <w:sz w:val="18"/>
          <w:szCs w:val="18"/>
        </w:rPr>
        <w:t xml:space="preserve">图 5  target ir architecture</w:t>
      </w:r>
    </w:p>
    <w:p>
      <w:pPr>
        <w:spacing w:after="120" w:line="310"/>
      </w:pPr>
      <w:r>
        <w:t xml:space="preserve">在目标路线中，元数据不直接交给模型选择物理资产：它先限制 ContextAsset 的候选范围，再为 validator、compiler 和 source admission 提供版本化事实。模型只看到逻辑资产，compiler 只消费 active semantic binding 及其已绑定的 metadata fingerprint；任何不一致都会在生成 SQL 前阻断。</w:t>
      </w:r>
    </w:p>
    <w:p>
      <w:pPr>
        <w:pStyle w:val="Heading2"/>
      </w:pPr>
      <w:r>
        <w:t xml:space="preserve">5.1 路由策略</w:t>
      </w:r>
    </w:p>
    <w:p>
      <w:pPr>
        <w:spacing w:after="120" w:line="310"/>
      </w:pPr>
      <w:r>
        <w:t xml:space="preserve">路由不是由模型任意选择，而由系统按资产认证级别和能力支持度决定：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EEF3F6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87F73"/>
                <w:sz w:val="17"/>
                <w:szCs w:val="17"/>
              </w:rPr>
              <w:t xml:space="preserve">TEXT  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1. Policy precheck 失败                  -&gt; 拒绝，绝不 fallback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2. 唯一命中 active MetricDefinition      -&gt; governed metric path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3. 命中 active CertifiedQueryTemplate     -&gt; certified template path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4. 能由支持的 IR capability 表达         -&gt; ad-hoc SemanticQueryIR path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5. 功能未支持但属于迁移白名单             -&gt; 显式 legacy SQL fallback，记录 gap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6. 数据源/资产歧义或权限不满足            -&gt; 澄清或拒绝，绝不猜测</w:t>
            </w:r>
          </w:p>
        </w:tc>
      </w:tr>
    </w:tbl>
    <w:p>
      <w:pPr>
        <w:spacing w:after="120" w:line="310"/>
      </w:pPr>
      <w:r>
        <w:t xml:space="preserve">“指标合同控制题”在基线和候选下若共享同一服务端模板，只能作为稳定性控制组，不能计入新 IR 编译器的效果增益。</w:t>
      </w:r>
    </w:p>
    <w:p>
      <w:pPr>
        <w:pStyle w:val="Heading2"/>
      </w:pPr>
      <w:r>
        <w:t xml:space="preserve">5.2 当前候选实现与完整目标的差异</w:t>
      </w:r>
    </w:p>
    <w:p>
      <w:pPr>
        <w:spacing w:after="120" w:line="310"/>
      </w:pPr>
      <w:r>
        <w:t xml:space="preserve">当前已实现可执行 canary：</w:t>
      </w:r>
      <w:r>
        <w:rPr>
          <w:rFonts w:ascii="Courier New" w:cs="Courier New" w:eastAsia="Courier New" w:hAnsi="Courier New"/>
          <w:color w:val="087F73"/>
        </w:rPr>
        <w:t xml:space="preserve">execution_profile="semantic_ir_experimental"</w:t>
      </w:r>
      <w:r>
        <w:t xml:space="preserve">。其模型只允许输出 </w:t>
      </w:r>
      <w:r>
        <w:rPr>
          <w:rFonts w:ascii="Courier New" w:cs="Courier New" w:eastAsia="Courier New" w:hAnsi="Courier New"/>
          <w:color w:val="087F73"/>
        </w:rPr>
        <w:t xml:space="preserve">AdHocSemanticQueryIR</w:t>
      </w:r>
      <w:r>
        <w:t xml:space="preserve">，且不允许携带 SQL、物理表名或 selected tables。经过语义验证后，编译器生成参数化 PostgreSQL/PostGIS SQL；该路径不静默回退到基线 SQL。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能力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当前候选实现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目标成熟形态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IR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gda.ad_hoc_semantic_query_ir.v1</w:t>
            </w:r>
            <w:r>
              <w:rPr>
                <w:b w:val="false"/>
                <w:bCs w:val="false"/>
                <w:sz w:val="18"/>
                <w:szCs w:val="18"/>
              </w:rPr>
              <w:t xml:space="preserve">，单/多实体基础查询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统一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SemanticQueryIR v1</w:t>
            </w:r>
            <w:r>
              <w:rPr>
                <w:b w:val="false"/>
                <w:bCs w:val="false"/>
                <w:sz w:val="18"/>
                <w:szCs w:val="18"/>
              </w:rPr>
              <w:t xml:space="preserve">，含 metric、template、time、mixed capability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聚合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count/count distinct/sum/avg/min/max、维度、排序、limit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加入 having、窗口、时间比较、半可加性等逐项认证能力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关系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已审核等值 join 与部分空间 join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完整的 join graph、grain/additivity、桥接关系验证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GIS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st_covers</w:t>
            </w:r>
            <w:r>
              <w:rPr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st_contains</w:t>
            </w:r>
            <w:r>
              <w:rPr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st_within</w:t>
            </w:r>
            <w:r>
              <w:rPr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st_intersects</w:t>
            </w:r>
            <w:r>
              <w:rPr>
                <w:b w:val="false"/>
                <w:bCs w:val="false"/>
                <w:sz w:val="18"/>
                <w:szCs w:val="18"/>
              </w:rPr>
              <w:t xml:space="preserve">、面积派生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dwithin、nearest、长度、CRS 策略等按 capability 扩展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编译器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PostgreSQL/PostGIS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认证 capability 后扩展 DuckDB Spatial、异步大规模引擎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迁移状态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experimental canary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shadow -&gt; selective serve -&gt; default new -&gt; legacy 收敛</w:t>
            </w:r>
          </w:p>
        </w:tc>
      </w:tr>
    </w:tbl>
    <w:p>
      <w:pPr>
        <w:spacing w:after="120" w:line="310"/>
      </w:pPr>
      <w:r>
        <w:t xml:space="preserve">候选已通过其单元测试，并不构成业务效果优于基线的结论。该结论只能由第 13 节规定的真实配对 benchmark 得出。</w:t>
      </w:r>
    </w:p>
    <w:p>
      <w:pPr>
        <w:pStyle w:val="Heading1"/>
      </w:pPr>
      <w:r>
        <w:t xml:space="preserve">6. 组件边界与模块设计</w:t>
      </w:r>
    </w:p>
    <w:p>
      <w:pPr>
        <w:spacing w:after="120" w:line="310"/>
      </w:pPr>
      <w:r>
        <w:t xml:space="preserve">首期采用模块化单体，保持与当前 </w:t>
      </w:r>
      <w:r>
        <w:rPr>
          <w:rFonts w:ascii="Courier New" w:cs="Courier New" w:eastAsia="Courier New" w:hAnsi="Courier New"/>
          <w:color w:val="087F73"/>
        </w:rPr>
        <w:t xml:space="preserve">data_agent</w:t>
      </w:r>
      <w:r>
        <w:t xml:space="preserve"> 的部署和身份/控制面集成。建议的逻辑模块如下：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EEF3F6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87F73"/>
                <w:sz w:val="17"/>
                <w:szCs w:val="17"/>
              </w:rPr>
              <w:t xml:space="preserve">TEXT  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data_agent/semantic_query/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contracts.py              TaskFrame、IR、ValidationReport、LogicalPlan、PhysicalPlan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context_resolver.py       ContextAsset 查询、版本/准入过滤、检索证据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router.py                 metric/template/IR/legacy/clarification 路由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planner.py                IR 标准化与 LogicalPlan 构造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validators/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  contract.py             JSON/Pydantic、大小、枚举、schema 版本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  semantic.py             active asset、字段/关系/版本、逻辑角色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  warehouse.py            join graph、grain、additivity、time semantics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  spatial.py              geometry、左右角色、CRS/SRID、单位、空间去重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  policy.py               tenant/role/purpose/sensitivity/source admission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  budget.py               行数、cost、sync/async、freshness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compilers/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  postgres.py             关系型 SQL 方言编译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  postgis.py              PostGIS 空间操作编译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  duckdb_spatial.py       后续；仅认证 capability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template_authority.py     CertifiedQueryTemplate 生命周期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evidence.py               trace、fingerprint、ResultContract、审计写入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legacy_adapter.py         迁移期兼容现有 SQL/rewrite 链</w:t>
            </w:r>
          </w:p>
        </w:tc>
      </w:tr>
    </w:tbl>
    <w:p>
      <w:pPr>
        <w:spacing w:after="120" w:line="310"/>
      </w:pPr>
      <w:r>
        <w:t xml:space="preserve">现有代码映射：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现有模块</w:t>
            </w:r>
          </w:p>
        </w:tc>
        <w:tc>
          <w:tcPr>
            <w:tcW w:type="dxa" w:w="468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保留/迁移方向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governed_virtual_nl2sql.py</w:t>
            </w:r>
          </w:p>
        </w:tc>
        <w:tc>
          <w:tcPr>
            <w:tcW w:type="dxa" w:w="468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继续作为兼容入口；暴露基线与 canary profile，逐步委托统一 router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semantic_query_ir.py</w:t>
            </w:r>
          </w:p>
        </w:tc>
        <w:tc>
          <w:tcPr>
            <w:tcW w:type="dxa" w:w="468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当前 IR/compiler 最小闭环；演进为上述 contracts、planner、compiler 的实现来源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semantic_layer.py</w:t>
            </w:r>
          </w:p>
        </w:tc>
        <w:tc>
          <w:tcPr>
            <w:tcW w:type="dxa" w:w="468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legacy adapter 与 ContextAsset projection；不继续承担多重写权威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semantic_model.py</w:t>
            </w:r>
          </w:p>
        </w:tc>
        <w:tc>
          <w:tcPr>
            <w:tcW w:type="dxa" w:w="468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canonical semantic model 的 import/export 与 draft 生成适配器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metric_query.py</w:t>
            </w:r>
          </w:p>
        </w:tc>
        <w:tc>
          <w:tcPr>
            <w:tcW w:type="dxa" w:w="468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保持 governed metric path 的确定性规划器，纳入统一 router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nl2sql_grounding.py</w:t>
            </w:r>
          </w:p>
        </w:tc>
        <w:tc>
          <w:tcPr>
            <w:tcW w:type="dxa" w:w="468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演进为资产检索与证据收集，减少直接辅助生成 SQL 的职责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nl2sql_semantic_rewrite.py</w:t>
            </w:r>
          </w:p>
        </w:tc>
        <w:tc>
          <w:tcPr>
            <w:tcW w:type="dxa" w:w="468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规则来源盘点；逐条迁移进 resolver、validator 或 compiler，最终保留 SQL hygiene 与 legacy fallback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sql_postprocessor.py</w:t>
            </w:r>
          </w:p>
        </w:tc>
        <w:tc>
          <w:tcPr>
            <w:tcW w:type="dxa" w:w="468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最终 defense-in-depth；不应承担核心业务语义</w:t>
            </w:r>
          </w:p>
        </w:tc>
      </w:tr>
    </w:tbl>
    <w:p>
      <w:pPr>
        <w:spacing w:after="120" w:line="310"/>
      </w:pPr>
      <w:r>
        <w:t xml:space="preserve">不在此阶段拆成独立服务。拆分的重新评估条件是：compiler 或 benchmark worker 有独立伸缩/SLO、明确团队所有权，且模块合同已稳定。</w:t>
      </w:r>
    </w:p>
    <w:p>
      <w:pPr>
        <w:pStyle w:val="Heading1"/>
      </w:pPr>
      <w:r>
        <w:t xml:space="preserve">7. 核心合同与版本绑定</w:t>
      </w:r>
    </w:p>
    <w:p>
      <w:pPr>
        <w:pStyle w:val="Heading2"/>
      </w:pPr>
      <w:r>
        <w:t xml:space="preserve">7.1 TaskFrame</w:t>
      </w:r>
    </w:p>
    <w:p>
      <w:pPr>
        <w:spacing w:after="120" w:line="310"/>
      </w:pPr>
      <w:r>
        <w:rPr>
          <w:rFonts w:ascii="Courier New" w:cs="Courier New" w:eastAsia="Courier New" w:hAnsi="Courier New"/>
          <w:color w:val="087F73"/>
        </w:rPr>
        <w:t xml:space="preserve">TaskFrame</w:t>
      </w:r>
      <w:r>
        <w:t xml:space="preserve"> 是问题级理解合同，不含 SQL 或物理标识符：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EEF3F6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87F73"/>
                <w:sz w:val="17"/>
                <w:szCs w:val="17"/>
              </w:rPr>
              <w:t xml:space="preserve">YAML  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schema_id: gda.task_frame.v1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query_kind: metric | detail | aggregate | comparison | ranking | spatial | mixed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source_scope: [12]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requested_entities: [facility]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requested_metrics: [facility_count]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dimensions: [lifecycle_stage, facility_type]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time_intent: { range: null, grain: null }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spatial_intent: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predicate: within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left_role: facility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right_role: administrative_area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distance: null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result_shape: scalar | table | feature_collection | map_layer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language: zh | en | ar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ambiguities: []</w:t>
            </w:r>
          </w:p>
        </w:tc>
      </w:tr>
    </w:tbl>
    <w:p>
      <w:pPr>
        <w:pStyle w:val="Heading2"/>
      </w:pPr>
      <w:r>
        <w:t xml:space="preserve">7.2 SemanticQueryIR</w:t>
      </w:r>
    </w:p>
    <w:p>
      <w:pPr>
        <w:pStyle w:val="Heading3"/>
      </w:pPr>
      <w:r>
        <w:t xml:space="preserve">7.2.1 IR 的含义和架构位置</w:t>
      </w:r>
    </w:p>
    <w:p>
      <w:pPr>
        <w:spacing w:after="120" w:line="310"/>
      </w:pPr>
      <w:r>
        <w:t xml:space="preserve">IR 是 </w:t>
      </w:r>
      <w:r>
        <w:rPr>
          <w:b/>
          <w:bCs/>
        </w:rPr>
        <w:t xml:space="preserve">Intermediate Representation</w:t>
      </w:r>
      <w:r>
        <w:t xml:space="preserve"> 的缩写，中文是“中间表示”。</w:t>
      </w:r>
      <w:r>
        <w:rPr>
          <w:rFonts w:ascii="Courier New" w:cs="Courier New" w:eastAsia="Courier New" w:hAnsi="Courier New"/>
          <w:color w:val="087F73"/>
        </w:rPr>
        <w:t xml:space="preserve">SemanticQueryIR</w:t>
      </w:r>
      <w:r>
        <w:t xml:space="preserve"> 即“语义查询中间表示”，是自然语言理解和物理 SQL 执行之间的 typed contract。它表达用户</w:t>
      </w:r>
      <w:r>
        <w:rPr>
          <w:b/>
          <w:bCs/>
        </w:rPr>
        <w:t xml:space="preserve">想查询什么</w:t>
      </w:r>
      <w:r>
        <w:t xml:space="preserve">，不表达数据库</w:t>
      </w:r>
      <w:r>
        <w:rPr>
          <w:b/>
          <w:bCs/>
        </w:rPr>
        <w:t xml:space="preserve">用什么物理方式执行</w:t>
      </w:r>
      <w: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EEF3F6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87F73"/>
                <w:sz w:val="17"/>
                <w:szCs w:val="17"/>
              </w:rPr>
              <w:t xml:space="preserve">TEXT  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自然语言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-&gt; TaskFrame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-&gt; SemanticQueryIR              # 问题级逻辑语义意图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-&gt; validators                    # 合同、语义、粒度、空间、策略、预算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-&gt; LogicalPlan                   # 与引擎无关的查询算子图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-&gt; Physical compiler             # 绑定已审核物理资产并生成参数化 SQL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-&gt; PhysicalPlan / ResultContract</w:t>
            </w:r>
          </w:p>
        </w:tc>
      </w:tr>
    </w:tbl>
    <w:p>
      <w:pPr>
        <w:spacing w:after="120" w:line="310"/>
      </w:pPr>
      <w:r>
        <w:t xml:space="preserve">例如用户提出：</w:t>
      </w:r>
    </w:p>
    <w:p>
      <w:pPr>
        <w:pBdr>
          <w:left w:val="single" w:color="087F73" w:sz="12" w:space="12"/>
        </w:pBdr>
        <w:spacing w:after="120" w:line="310"/>
        <w:ind w:left="560"/>
      </w:pPr>
      <w:r>
        <w:rPr>
          <w:i/>
          <w:iCs/>
          <w:color w:val="5B6679"/>
        </w:rPr>
        <w:t xml:space="preserve">按行政区统计公园数量。</w:t>
      </w:r>
    </w:p>
    <w:p>
      <w:pPr>
        <w:spacing w:after="120" w:line="310"/>
      </w:pPr>
      <w:r>
        <w:t xml:space="preserve">SemanticQueryIR 应表达为类似下面的逻辑计划：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EEF3F6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87F73"/>
                <w:sz w:val="17"/>
                <w:szCs w:val="17"/>
              </w:rPr>
              <w:t xml:space="preserve">YAML  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schema_id: gda.semantic_query_ir.v1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query_kind: aggregate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subject: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semantic_ref: park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dimension: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semantic_ref: administrative_area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metric: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aggregate: count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semantic_ref: park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spatial_relation: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predicate: within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left_role: park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right_role: administrative_area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result_shape: table</w:t>
            </w:r>
          </w:p>
        </w:tc>
      </w:tr>
    </w:tbl>
    <w:p>
      <w:pPr>
        <w:spacing w:after="120" w:line="310"/>
      </w:pPr>
      <w:r>
        <w:t xml:space="preserve">这个 IR 不应携带 </w:t>
      </w:r>
      <w:r>
        <w:rPr>
          <w:rFonts w:ascii="Courier New" w:cs="Courier New" w:eastAsia="Courier New" w:hAnsi="Courier New"/>
          <w:color w:val="087F73"/>
        </w:rPr>
        <w:t xml:space="preserve">SELECT</w:t>
      </w:r>
      <w:r>
        <w:t xml:space="preserve">、</w:t>
      </w:r>
      <w:r>
        <w:rPr>
          <w:rFonts w:ascii="Courier New" w:cs="Courier New" w:eastAsia="Courier New" w:hAnsi="Courier New"/>
          <w:color w:val="087F73"/>
        </w:rPr>
        <w:t xml:space="preserve">FROM</w:t>
      </w:r>
      <w:r>
        <w:t xml:space="preserve">、物理表名、物理字段名、连接字符串、任意 SQL 函数或任意表达式。经过语义层解析后，编译器才可以把 </w:t>
      </w:r>
      <w:r>
        <w:rPr>
          <w:rFonts w:ascii="Courier New" w:cs="Courier New" w:eastAsia="Courier New" w:hAnsi="Courier New"/>
          <w:color w:val="087F73"/>
        </w:rPr>
        <w:t xml:space="preserve">park</w:t>
      </w:r>
      <w:r>
        <w:t xml:space="preserve">、</w:t>
      </w:r>
      <w:r>
        <w:rPr>
          <w:rFonts w:ascii="Courier New" w:cs="Courier New" w:eastAsia="Courier New" w:hAnsi="Courier New"/>
          <w:color w:val="087F73"/>
        </w:rPr>
        <w:t xml:space="preserve">administrative_area</w:t>
      </w:r>
      <w:r>
        <w:t xml:space="preserve">、</w:t>
      </w:r>
      <w:r>
        <w:rPr>
          <w:rFonts w:ascii="Courier New" w:cs="Courier New" w:eastAsia="Courier New" w:hAnsi="Courier New"/>
          <w:color w:val="087F73"/>
        </w:rPr>
        <w:t xml:space="preserve">within</w:t>
      </w:r>
      <w:r>
        <w:t xml:space="preserve"> 和 </w:t>
      </w:r>
      <w:r>
        <w:rPr>
          <w:rFonts w:ascii="Courier New" w:cs="Courier New" w:eastAsia="Courier New" w:hAnsi="Courier New"/>
          <w:color w:val="087F73"/>
        </w:rPr>
        <w:t xml:space="preserve">count</w:t>
      </w:r>
      <w:r>
        <w:t xml:space="preserve"> 绑定到当前 source 的 active semantic assets，生成 PostgreSQL/PostGIS SQL 和命名参数。</w:t>
      </w:r>
    </w:p>
    <w:p>
      <w:pPr>
        <w:pStyle w:val="Heading3"/>
      </w:pPr>
      <w:r>
        <w:t xml:space="preserve">7.2.2 IR 与本体、语义层及执行计划的边界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层次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回答的问题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示例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本体模型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业务世界中有什么对象、概念和关系？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park</w:t>
            </w:r>
            <w:r>
              <w:rPr>
                <w:b w:val="false"/>
                <w:bCs w:val="false"/>
                <w:sz w:val="18"/>
                <w:szCs w:val="18"/>
              </w:rPr>
              <w:t xml:space="preserve"> 是设施/空间对象；行政区可以包含公园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语义层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这些逻辑对象当前绑定到哪些可执行资产？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park</w:t>
            </w:r>
            <w:r>
              <w:rPr>
                <w:b w:val="false"/>
                <w:bCs w:val="false"/>
                <w:sz w:val="18"/>
                <w:szCs w:val="18"/>
              </w:rPr>
              <w:t xml:space="preserve"> 的 active 表、主键、geometry、SRID、粒度和权限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SemanticQueryIR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用户这一次具体想查询什么？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统计公园数量，并按行政区分组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LogicalPlan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用哪些引擎无关的逻辑算子完成？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scan、spatial relation、aggregate、group-by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PhysicalPlan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在具体引擎上如何执行？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PostgreSQL/PostGIS 表绑定、SQL、参数、执行器版本</w:t>
            </w:r>
          </w:p>
        </w:tc>
      </w:tr>
    </w:tbl>
    <w:p>
      <w:pPr>
        <w:spacing w:after="120" w:line="310"/>
      </w:pPr>
      <w:r>
        <w:t xml:space="preserve">本体负责概念理解和关系候选，语义层负责可执行绑定和版本约束；IR 是一次查询的具体意图，不能取代二者。反过来，存在本体概念也不代表可以执行：没有 active semantic binding、source admission 或权限时，IR 必须被澄清或拒绝。</w:t>
      </w:r>
    </w:p>
    <w:p>
      <w:pPr>
        <w:pStyle w:val="Heading3"/>
      </w:pPr>
      <w:r>
        <w:t xml:space="preserve">7.2.3 IR 与两条技术路线的差异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EEF3F6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87F73"/>
                <w:sz w:val="17"/>
                <w:szCs w:val="17"/>
              </w:rPr>
              <w:t xml:space="preserve">TEXT  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基线自由问数：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自然语言 -&gt; Grounding -&gt; LLM 生成物理 SQL -&gt; SQL 校验/修补 -&gt; 执行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SemanticQueryIR 路线：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自然语言 -&gt; LLM/规则生成受限 IR -&gt; 语义校验 -&gt; LogicalPlan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            -&gt; 确定性 compiler 绑定物理资产并生成 SQL -&gt; 执行</w:t>
            </w:r>
          </w:p>
        </w:tc>
      </w:tr>
    </w:tbl>
    <w:p>
      <w:pPr>
        <w:spacing w:after="120" w:line="310"/>
      </w:pPr>
      <w:r>
        <w:t xml:space="preserve">因此，IR 不是“把 SQL 换一个 JSON 外壳”，而是把模型输出空间从物理 SQL 收缩为可验证的业务语义合同，把物理标识符和 SQL 生成权移交给语义层绑定与确定性 compiler。当前实现中的 </w:t>
      </w:r>
      <w:r>
        <w:rPr>
          <w:rFonts w:ascii="Courier New" w:cs="Courier New" w:eastAsia="Courier New" w:hAnsi="Courier New"/>
          <w:color w:val="087F73"/>
        </w:rPr>
        <w:t xml:space="preserve">AdHocSemanticQueryIR</w:t>
      </w:r>
      <w:r>
        <w:t xml:space="preserve"> 是该统一合同的实验性最小子集，支持基础实体、投影、聚合、过滤、审核等值/空间关系、排序和 limit；未覆盖的窗口、复杂时间比较、递归和任意表达式必须以 capability gap 明确暴露。</w:t>
      </w:r>
    </w:p>
    <w:p>
      <w:pPr>
        <w:spacing w:after="120" w:line="310"/>
      </w:pPr>
      <w:r>
        <w:t xml:space="preserve">所有可执行计划都必须引用逻辑资产及精确版本，且不得存在 raw SQL、任意表达式、路径或未审核物理标识符逃生字段。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EEF3F6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87F73"/>
                <w:sz w:val="17"/>
                <w:szCs w:val="17"/>
              </w:rPr>
              <w:t xml:space="preserve">YAML  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schema_id: gda.semantic_query_ir.v1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route: reviewed_metric | certified_template | ad_hoc_ir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semantic_model_version: semver-or-immutable-id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source_binding: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source_id: 12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resource_version: immutable-id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discovery_fingerprint: sha256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subjects: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- role: counted_entity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  semantic_ref: liveability.facility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projections: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- role: dimension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  field_ref: liveability.facility.lifecycle_stage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- role: metric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  aggregate: count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  field_ref: liveability.facility.id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joins: []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filters: []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spatial_predicates: []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order_by: []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limit: 1000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expected_result: { shape: table }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evidence_refs: []</w:t>
            </w:r>
          </w:p>
        </w:tc>
      </w:tr>
    </w:tbl>
    <w:p>
      <w:pPr>
        <w:spacing w:after="120" w:line="310"/>
      </w:pPr>
      <w:r>
        <w:t xml:space="preserve">当前 canary 的 </w:t>
      </w:r>
      <w:r>
        <w:rPr>
          <w:rFonts w:ascii="Courier New" w:cs="Courier New" w:eastAsia="Courier New" w:hAnsi="Courier New"/>
          <w:color w:val="087F73"/>
        </w:rPr>
        <w:t xml:space="preserve">AdHocSemanticQueryIR</w:t>
      </w:r>
      <w:r>
        <w:t xml:space="preserve"> 是上述统一合同的受限子集。它是实现事实；完整 </w:t>
      </w:r>
      <w:r>
        <w:rPr>
          <w:rFonts w:ascii="Courier New" w:cs="Courier New" w:eastAsia="Courier New" w:hAnsi="Courier New"/>
          <w:color w:val="087F73"/>
        </w:rPr>
        <w:t xml:space="preserve">SemanticQueryIR v1</w:t>
      </w:r>
      <w:r>
        <w:t xml:space="preserve"> 是本设计规定的后续合同，二者不得混称。</w:t>
      </w:r>
    </w:p>
    <w:p>
      <w:pPr>
        <w:pStyle w:val="Heading2"/>
      </w:pPr>
      <w:r>
        <w:t xml:space="preserve">7.3 LogicalPlan、PhysicalPlan 与不可变证据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合同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输入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输出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关键不变量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ValidationReport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IR 与安全上下文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有序 checks、reason codes、fixability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失败可机器分类，不能只返回自然语言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LogicalPlan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已验证 IR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scan/join/filter/aggregate/project/sort/limit 的逻辑 DAG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不含 engine-specific SQL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PhysicalPlan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LogicalPlan + 语义 binding + compiler version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SQL/引擎计划、命名参数、确切 source/projection binding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只读；所有用户值参数化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ResultContract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执行结果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schema、截断标记、结果指纹、数据版本、可读口径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结果可与 gold/另一引擎比较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QueryTrace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端到端阶段事件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route、资产、IR、校验、计划、执行、反馈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可重放、可审计、不可把 Gold 注入运行时</w:t>
            </w:r>
          </w:p>
        </w:tc>
      </w:tr>
    </w:tbl>
    <w:p>
      <w:pPr>
        <w:spacing w:after="120" w:line="310"/>
      </w:pPr>
      <w:r>
        <w:t xml:space="preserve">一次执行的最小可追踪键为：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EEF3F6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87F73"/>
                <w:sz w:val="17"/>
                <w:szCs w:val="17"/>
              </w:rPr>
              <w:t xml:space="preserve">TEXT  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request_id + tenant/subject + source_id + source/resource version + discovery fingerprint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+ ontology version + semantic model version + metric/template version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+ IR hash + validator version + compiler version + physical-plan hash + result fingerprint</w:t>
            </w:r>
          </w:p>
        </w:tc>
      </w:tr>
    </w:tbl>
    <w:p>
      <w:pPr>
        <w:pStyle w:val="Heading1"/>
      </w:pPr>
      <w:r>
        <w:t xml:space="preserve">8. 校验、编译和失败模型</w:t>
      </w:r>
    </w:p>
    <w:p>
      <w:pPr>
        <w:pStyle w:val="Heading2"/>
      </w:pPr>
      <w:r>
        <w:t xml:space="preserve">8.1 校验顺序</w:t>
      </w:r>
    </w:p>
    <w:p>
      <w:pPr>
        <w:spacing w:after="120" w:line="310"/>
      </w:pPr>
      <w:r>
        <w:t xml:space="preserve">每个 route 在编译前必须按固定顺序完成以下检查。禁止“先试跑 SQL，再用数据库报错反推语义”。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顺序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校验器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主要检查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失败动作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Contract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schema id、类型、枚举、字段数量和 limit 上限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拒绝或提示模型生成合格 IR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Semantic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entity/field/metric/relation 是否 active、版本是否匹配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澄清、补检索或拒绝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Warehouse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join graph、fact/dimension 角色、grain、additivity、时间语义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capability gap 或修复 IR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Spatial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geometry 类型、左右角色、predicate、SRID/CRS、单位、空间去重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capability gap 或修复 IR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Policy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租户、角色、用途、敏感字段、空间范围、source admission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直接拒绝，禁止 fallback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Budget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row/cost 估算、同步/异步、freshness、结果形状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转异步、澄清范围或拒绝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Runtime defense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SQL AST、只读、schema allowlist、LIMIT、数据库只读校验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阻断并标为 compiler/runtime 缺陷</w:t>
            </w:r>
          </w:p>
        </w:tc>
      </w:tr>
    </w:tbl>
    <w:p>
      <w:pPr>
        <w:pStyle w:val="Heading2"/>
      </w:pPr>
      <w:r>
        <w:t xml:space="preserve">8.2 失败分类</w:t>
      </w:r>
    </w:p>
    <w:p>
      <w:pPr>
        <w:spacing w:after="120" w:line="310"/>
      </w:pPr>
      <w:r>
        <w:t xml:space="preserve">所有错误必须落入稳定的 </w:t>
      </w:r>
      <w:r>
        <w:rPr>
          <w:rFonts w:ascii="Courier New" w:cs="Courier New" w:eastAsia="Courier New" w:hAnsi="Courier New"/>
          <w:color w:val="087F73"/>
        </w:rPr>
        <w:t xml:space="preserve">reason_code</w:t>
      </w:r>
      <w:r>
        <w:t xml:space="preserve">，而不是被笼统记为“SQL failed”：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EEF3F6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87F73"/>
                <w:sz w:val="17"/>
                <w:szCs w:val="17"/>
              </w:rPr>
              <w:t xml:space="preserve">TEXT  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policy_denied | source_not_admitted | source_schema_drift | asset_not_found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metric_ambiguous | semantic_version_inactive | relation_not_reviewed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join_graph_invalid | grain_violation | additivity_violation | time_semantics_invalid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spatial_role_invalid | spatial_predicate_unsupported | crs_or_unit_invalid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ir_contract_invalid | capability_unsupported | compiler_failure | runtime_guard_rejected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budget_exceeded | infrastructure_unavailable | result_contract_mismatch</w:t>
            </w:r>
          </w:p>
        </w:tc>
      </w:tr>
    </w:tbl>
    <w:p>
      <w:pPr>
        <w:spacing w:after="120" w:line="310"/>
      </w:pPr>
      <w:r>
        <w:t xml:space="preserve">网络断开必须归为 </w:t>
      </w:r>
      <w:r>
        <w:rPr>
          <w:rFonts w:ascii="Courier New" w:cs="Courier New" w:eastAsia="Courier New" w:hAnsi="Courier New"/>
          <w:color w:val="087F73"/>
        </w:rPr>
        <w:t xml:space="preserve">infrastructure_unavailable</w:t>
      </w:r>
      <w:r>
        <w:t xml:space="preserve">，不计入模型、语义层或 compiler 的准确率失败。</w:t>
      </w:r>
    </w:p>
    <w:p>
      <w:pPr>
        <w:pStyle w:val="Heading2"/>
      </w:pPr>
      <w:r>
        <w:t xml:space="preserve">8.3 编译规则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compiler 是唯一把 </w:t>
      </w:r>
      <w:r>
        <w:rPr>
          <w:rFonts w:ascii="Courier New" w:cs="Courier New" w:eastAsia="Courier New" w:hAnsi="Courier New"/>
          <w:color w:val="087F73"/>
        </w:rPr>
        <w:t xml:space="preserve">semantic_ref</w:t>
      </w:r>
      <w:r>
        <w:t xml:space="preserve"> 解析为 physical table/column 的组件。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所有用户值使用命名参数；参数不能改变 identifier、operator、join path 或 SQL fragment。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SQL identifier 只可来自 active reviewed binding，编译后再次经过 SQL AST 和 source/schema 白名单检查。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geometry 默认不能裸投影；面积、长度、距离必须使用语义资产声明的单位与 CRS 策略生成。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空间 join 必须声明左右角色和审核 relation；同表、自连接和多边形重复计数必须有明确语义。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不支持的 IR capability 返回 </w:t>
      </w:r>
      <w:r>
        <w:rPr>
          <w:rFonts w:ascii="Courier New" w:cs="Courier New" w:eastAsia="Courier New" w:hAnsi="Courier New"/>
          <w:color w:val="087F73"/>
        </w:rPr>
        <w:t xml:space="preserve">capability_unsupported</w:t>
      </w:r>
      <w:r>
        <w:t xml:space="preserve">，不添加任意 SQL expression 字段破坏合同边界。</w:t>
      </w:r>
    </w:p>
    <w:p>
      <w:pPr>
        <w:pStyle w:val="Heading2"/>
      </w:pPr>
      <w:r>
        <w:t xml:space="preserve">8.4 Capability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Capability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SemanticQueryIR v1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PostgreSQL/PostGIS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DuckDB Spatial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发布要求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单实体 detail/filter/order/limit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当前 canary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待实现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单元 golden + 真实对比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基础 aggregate/group-by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当前 canary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待实现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grain/结果等价测试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已审核等值 join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当前 canary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待实现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join graph golden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contains/within/intersects/covers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当前 canary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待实现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role/SRID golden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area m2/km2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当前 canary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待实现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单位与 CRS golden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dwithin / nearest / length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规划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规划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规划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单独 capability 认证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metric time/window/comparison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规划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现有 metric path 部分支持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待实现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指标合同和统一 IR 适配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arbitrary SQL / arbitrary UDF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72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不作为产品承诺</w:t>
            </w:r>
          </w:p>
        </w:tc>
      </w:tr>
    </w:tbl>
    <w:p>
      <w:pPr>
        <w:pStyle w:val="Heading1"/>
      </w:pPr>
      <w:r>
        <w:t xml:space="preserve">9. 本体和语义资产生命周期</w:t>
      </w:r>
    </w:p>
    <w:p>
      <w:pPr>
        <w:pStyle w:val="Heading2"/>
      </w:pPr>
      <w:r>
        <w:t xml:space="preserve">9.1 从发现到可执行资产</w:t>
      </w:r>
    </w:p>
    <w:p>
      <w:pPr>
        <w:keepNext/>
        <w:spacing w:before="160" w:after="70"/>
        <w:jc w:val="center"/>
      </w:pPr>
      <w:r>
        <w:drawing>
          <wp:inline distT="0" distB="0" distL="0" distR="0">
            <wp:extent cx="6191250" cy="2295525"/>
            <wp:effectExtent t="0" r="0" b="0" l="0"/>
            <wp:docPr id="1" name="diagram-6" descr="NL2Semantic2SQL 架构图 6" title="架构图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679"/>
          <w:sz w:val="18"/>
          <w:szCs w:val="18"/>
        </w:rPr>
        <w:t xml:space="preserve">图 6  asset lifecycle</w:t>
      </w:r>
    </w:p>
    <w:p>
      <w:pPr>
        <w:spacing w:after="120" w:line="310"/>
      </w:pPr>
      <w:r>
        <w:t xml:space="preserve">资产的 </w:t>
      </w:r>
      <w:r>
        <w:rPr>
          <w:rFonts w:ascii="Courier New" w:cs="Courier New" w:eastAsia="Courier New" w:hAnsi="Courier New"/>
          <w:color w:val="087F73"/>
        </w:rPr>
        <w:t xml:space="preserve">active</w:t>
      </w:r>
      <w:r>
        <w:t xml:space="preserve"> 不是“系统发现到了表”的同义词。至少需要：数据字典/数据 owner 依据、逻辑概念与字段绑定、关系证据、粒度/单位/CRS（如适用）、权限标签、版本绑定和验证用例。</w:t>
      </w:r>
    </w:p>
    <w:p>
      <w:pPr>
        <w:pStyle w:val="Heading2"/>
      </w:pPr>
      <w:r>
        <w:t xml:space="preserve">9.2 本体的运行时贡献</w:t>
      </w:r>
    </w:p>
    <w:p>
      <w:pPr>
        <w:spacing w:after="120" w:line="310"/>
      </w:pPr>
      <w:r>
        <w:t xml:space="preserve">本体应发挥下列具体作用，而非仅作为展示页：</w:t>
      </w:r>
    </w:p>
    <w:p>
      <w:pPr>
        <w:spacing w:after="80" w:line="290"/>
        <w:ind w:left="600" w:hanging="340"/>
      </w:pPr>
      <w:r>
        <w:t xml:space="preserve">1. </w:t>
      </w:r>
      <w:r>
        <w:rPr>
          <w:b/>
          <w:bCs/>
        </w:rPr>
        <w:t xml:space="preserve">概念归一化：</w:t>
      </w:r>
      <w:r>
        <w:t xml:space="preserve"> 将中文、英文、阿语业务术语、别名和缩写映射至候选概念。</w:t>
      </w:r>
    </w:p>
    <w:p>
      <w:pPr>
        <w:spacing w:after="80" w:line="290"/>
        <w:ind w:left="600" w:hanging="340"/>
      </w:pPr>
      <w:r>
        <w:t xml:space="preserve">2. </w:t>
      </w:r>
      <w:r>
        <w:rPr>
          <w:b/>
          <w:bCs/>
        </w:rPr>
        <w:t xml:space="preserve">实体角色约束：</w:t>
      </w:r>
      <w:r>
        <w:t xml:space="preserve"> 区分“统计对象”“空间过滤对象”“行政区”“设施”等角色，避免关系左右颠倒。</w:t>
      </w:r>
    </w:p>
    <w:p>
      <w:pPr>
        <w:spacing w:after="80" w:line="290"/>
        <w:ind w:left="600" w:hanging="340"/>
      </w:pPr>
      <w:r>
        <w:t xml:space="preserve">3. </w:t>
      </w:r>
      <w:r>
        <w:rPr>
          <w:b/>
          <w:bCs/>
        </w:rPr>
        <w:t xml:space="preserve">关系候选排序：</w:t>
      </w:r>
      <w:r>
        <w:t xml:space="preserve"> 为 resolver 提供经过审核的等值/空间业务关系候选，而非由模型自由猜测 join。</w:t>
      </w:r>
    </w:p>
    <w:p>
      <w:pPr>
        <w:spacing w:after="80" w:line="290"/>
        <w:ind w:left="600" w:hanging="340"/>
      </w:pPr>
      <w:r>
        <w:t xml:space="preserve">4. </w:t>
      </w:r>
      <w:r>
        <w:rPr>
          <w:b/>
          <w:bCs/>
        </w:rPr>
        <w:t xml:space="preserve">粒度解释：</w:t>
      </w:r>
      <w:r>
        <w:t xml:space="preserve"> 说明对象是 feature、building、project、facility、地址还是行政区，支持 validator 判断重复计数风险。</w:t>
      </w:r>
    </w:p>
    <w:p>
      <w:pPr>
        <w:spacing w:after="80" w:line="290"/>
        <w:ind w:left="600" w:hanging="340"/>
      </w:pPr>
      <w:r>
        <w:t xml:space="preserve">5. </w:t>
      </w:r>
      <w:r>
        <w:rPr>
          <w:b/>
          <w:bCs/>
        </w:rPr>
        <w:t xml:space="preserve">解释与反馈：</w:t>
      </w:r>
      <w:r>
        <w:t xml:space="preserve"> 向 UI 展示命中概念、同义词、关系和证据来源，并将用户纠正沉淀为待审核资产。</w:t>
      </w:r>
    </w:p>
    <w:p>
      <w:pPr>
        <w:spacing w:after="120" w:line="310"/>
      </w:pPr>
      <w:r>
        <w:t xml:space="preserve">本体不应被误用为执行权威。一个概念即使已存在于本体，若没有 active semantic binding 或 source admission，系统必须澄清或拒绝，而不能根据名称猜表。</w:t>
      </w:r>
    </w:p>
    <w:p>
      <w:pPr>
        <w:pStyle w:val="Heading2"/>
      </w:pPr>
      <w:r>
        <w:t xml:space="preserve">9.3 语义层的运行时贡献</w:t>
      </w:r>
    </w:p>
    <w:p>
      <w:pPr>
        <w:spacing w:after="120" w:line="310"/>
      </w:pPr>
      <w:r>
        <w:t xml:space="preserve">语义层必须是编译器可消费的数据合同，至少包含：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EEF3F6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87F73"/>
                <w:sz w:val="17"/>
                <w:szCs w:val="17"/>
              </w:rPr>
              <w:t xml:space="preserve">YAML  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semantic_asset: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asset_id: makani.building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labels: { zh: 建筑, en: Building, ar: مبنى }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review_status: active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grain: one_feature_per_building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source_binding: { source_id: 13, resource_version: ..., discovery_fingerprint: ... }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physical_binding: { table: reviewed-binding-only, primary_key: ... }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fields: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  - semantic_field: building.status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    type: categorical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    physical_field: reviewed-binding-only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    allowed_operations: [filter, group_by]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spatial: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  geometry_field: reviewed-binding-only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  srid: declared-srid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  allowed_predicates: [within, contains, intersects]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policy: { sensitivity: internal, row_scope: tenant-policy }</w:t>
            </w:r>
          </w:p>
        </w:tc>
      </w:tr>
    </w:tbl>
    <w:p>
      <w:pPr>
        <w:spacing w:after="120" w:line="310"/>
      </w:pPr>
      <w:r>
        <w:t xml:space="preserve">它在 query runtime 中负责：筛除不可执行候选、为 IR 验证字段和关系、向 compiler 提供唯一物理 binding、约束单位/CRS 和输出形状、执行字段级/行级策略、提供版本化 evidence。</w:t>
      </w:r>
    </w:p>
    <w:p>
      <w:pPr>
        <w:pStyle w:val="Heading1"/>
      </w:pPr>
      <w:r>
        <w:t xml:space="preserve">10. 跨源和联邦策略</w:t>
      </w:r>
    </w:p>
    <w:p>
      <w:pPr>
        <w:spacing w:after="120" w:line="310"/>
      </w:pPr>
      <w:r>
        <w:t xml:space="preserve">当前两个业务库是独立 source boundary。产品允许同一自然语言请求对两个源执行各自已审核的</w:t>
      </w:r>
      <w:r>
        <w:rPr>
          <w:b/>
          <w:bCs/>
        </w:rPr>
        <w:t xml:space="preserve">独立聚合子计划</w:t>
      </w:r>
      <w:r>
        <w:t xml:space="preserve">，并列呈现结果；不允许跨库 SQL 或跨源行级 join。</w:t>
      </w:r>
    </w:p>
    <w:p>
      <w:pPr>
        <w:keepNext/>
        <w:spacing w:before="160" w:after="70"/>
        <w:jc w:val="center"/>
      </w:pPr>
      <w:r>
        <w:drawing>
          <wp:inline distT="0" distB="0" distL="0" distR="0">
            <wp:extent cx="6191250" cy="2295525"/>
            <wp:effectExtent t="0" r="0" b="0" l="0"/>
            <wp:docPr id="1" name="diagram-7" descr="NL2Semantic2SQL 架构图 7" title="架构图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679"/>
          <w:sz w:val="18"/>
          <w:szCs w:val="18"/>
        </w:rPr>
        <w:t xml:space="preserve">图 7  federation boundary</w:t>
      </w:r>
    </w:p>
    <w:p>
      <w:pPr>
        <w:spacing w:after="120" w:line="310"/>
      </w:pPr>
      <w:r>
        <w:t xml:space="preserve">从当前独立聚合升级到跨源 join 的前置条件是：</w:t>
      </w:r>
    </w:p>
    <w:p>
      <w:pPr>
        <w:spacing w:after="80" w:line="290"/>
        <w:ind w:left="600" w:hanging="340"/>
      </w:pPr>
      <w:r>
        <w:t xml:space="preserve">1. </w:t>
      </w:r>
      <w:r>
        <w:t xml:space="preserve">经审核的全局实体链接模型与主键/匹配置信度；</w:t>
      </w:r>
    </w:p>
    <w:p>
      <w:pPr>
        <w:spacing w:after="80" w:line="290"/>
        <w:ind w:left="600" w:hanging="340"/>
      </w:pPr>
      <w:r>
        <w:t xml:space="preserve">2. </w:t>
      </w:r>
      <w:r>
        <w:t xml:space="preserve">明确的共享 CRS、时间一致性、重复消解和访问策略；</w:t>
      </w:r>
    </w:p>
    <w:p>
      <w:pPr>
        <w:spacing w:after="80" w:line="290"/>
        <w:ind w:left="600" w:hanging="340"/>
      </w:pPr>
      <w:r>
        <w:t xml:space="preserve">3. </w:t>
      </w:r>
      <w:r>
        <w:t xml:space="preserve">有受治理的 federation engine 或可验证数据产品，而不是把两个连接串交给模型；</w:t>
      </w:r>
    </w:p>
    <w:p>
      <w:pPr>
        <w:spacing w:after="80" w:line="290"/>
        <w:ind w:left="600" w:hanging="340"/>
      </w:pPr>
      <w:r>
        <w:t xml:space="preserve">4. </w:t>
      </w:r>
      <w:r>
        <w:t xml:space="preserve">独立的跨源 benchmark、错误归因和安全测试。</w:t>
      </w:r>
    </w:p>
    <w:p>
      <w:pPr>
        <w:spacing w:after="120" w:line="310"/>
      </w:pPr>
      <w:r>
        <w:t xml:space="preserve">在此前，不得以“联邦”名义把 source 12/13 的任意表硬连接。</w:t>
      </w:r>
    </w:p>
    <w:p>
      <w:pPr>
        <w:pStyle w:val="Heading1"/>
      </w:pPr>
      <w:r>
        <w:t xml:space="preserve">11. API、UI 与可解释性设计</w:t>
      </w:r>
    </w:p>
    <w:p>
      <w:pPr>
        <w:pStyle w:val="Heading2"/>
      </w:pPr>
      <w:r>
        <w:t xml:space="preserve">11.1 API 边界</w:t>
      </w:r>
    </w:p>
    <w:p>
      <w:pPr>
        <w:spacing w:after="120" w:line="310"/>
      </w:pPr>
      <w:r>
        <w:t xml:space="preserve">现有产品 API：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当前用途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目标演进约束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GET /api/abu-dhabi/nl2semantic2sql/evidence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返回 source、资源目录、本体、语义层和 benchmark 摘要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不返回凭据、业务行、Gold SQL 或 Gold result contract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POST /api/abu-dhabi/nl2semantic2sql/execute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接收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scope</w:t>
            </w:r>
            <w:r>
              <w:rPr>
                <w:b w:val="false"/>
                <w:bCs w:val="false"/>
                <w:sz w:val="18"/>
                <w:szCs w:val="18"/>
              </w:rPr>
              <w:t xml:space="preserve"> 与业务问题，返回受治理结果及紧凑证据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只接受自然语言；route profile 由服务端 release policy 决定，普通用户不能强制走 experimental</w:t>
            </w:r>
          </w:p>
        </w:tc>
      </w:tr>
    </w:tbl>
    <w:p>
      <w:pPr>
        <w:spacing w:after="120" w:line="310"/>
      </w:pPr>
      <w:r>
        <w:t xml:space="preserve">目标内部 API 合同：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EEF3F6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87F73"/>
                <w:sz w:val="17"/>
                <w:szCs w:val="17"/>
              </w:rPr>
              <w:t xml:space="preserve">TEXT  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resolve_context(TaskFrame, subject) -&gt; ContextAsset[] + retrieval evidence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route_query(TaskFrame, ContextAsset[]) -&gt; RouteDecision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validate_ir(SemanticQueryIR, security_context) -&gt; ValidationReport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compile_plan(LogicalPlan, bindings, compiler_version) -&gt; PhysicalPlan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execute_plan(PhysicalPlan, subject) -&gt; ResultContract + execution evidence</w:t>
            </w:r>
          </w:p>
        </w:tc>
      </w:tr>
    </w:tbl>
    <w:p>
      <w:pPr>
        <w:spacing w:after="120" w:line="310"/>
      </w:pPr>
      <w:r>
        <w:t xml:space="preserve">任何前端、agent tool 或 benchmark runner 都必须通过同一编排层，不能直接调用 compiler 或业务数据库。</w:t>
      </w:r>
    </w:p>
    <w:p>
      <w:pPr>
        <w:pStyle w:val="Heading2"/>
      </w:pPr>
      <w:r>
        <w:t xml:space="preserve">11.2 UI 信息架构</w:t>
      </w:r>
    </w:p>
    <w:p>
      <w:pPr>
        <w:spacing w:after="120" w:line="310"/>
      </w:pPr>
      <w:r>
        <w:t xml:space="preserve">现有 </w:t>
      </w:r>
      <w:r>
        <w:rPr>
          <w:rFonts w:ascii="Courier New" w:cs="Courier New" w:eastAsia="Courier New" w:hAnsi="Courier New"/>
          <w:color w:val="087F73"/>
        </w:rPr>
        <w:t xml:space="preserve">阿布扎比问数验证</w:t>
      </w:r>
      <w:r>
        <w:t xml:space="preserve"> tab 已展示四个视图：总览、本体模型、语义层、Benchmark，以及受治理查询证据。目标不是另做 demo 页面，而是将以下信息稳定产品化：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页面/区域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必须展示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禁止展示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数据源与元数据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source id、数据库/schema、owner、健康/发现状态、资源/字段统计、技术/Profile/治理/运营元数据摘要、fingerprint、只读策略、schema drift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密码、连接串、业务行样本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本体模型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概念、三语标签/别名、业务/空间关系、审核状态、覆盖边界、数据字典溯源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把未审核 draft 描述为 active 业务事实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语义层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active version、实体字段映射、grain、单位、CRS、敏感度、关系、metric/template 与 activation gate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将物理表名当作用户输入要求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问数结果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命中资产、route、IR 摘要、validator 结论、source/version、compiler、数据口径、结果与错误分类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凭据、未脱敏内部异常、Gold 答案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Benchmark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frozen manifest、baseline/candidate 条件、按 track/language/split 的结果、配对差异、延迟/token、失败分布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运行时可检索的 Gold SQL/结果</w:t>
            </w:r>
          </w:p>
        </w:tc>
      </w:tr>
    </w:tbl>
    <w:p>
      <w:pPr>
        <w:spacing w:after="120" w:line="310"/>
      </w:pPr>
      <w:r>
        <w:t xml:space="preserve">对于一般用户，展示“逻辑资产和可读计划摘要”优先于原始 SQL；面向管理员的展开面板可查看 SQL hash、compiler version 与受控 SQL，但仍不得泄露安全信息。</w:t>
      </w:r>
    </w:p>
    <w:p>
      <w:pPr>
        <w:pStyle w:val="Heading1"/>
      </w:pPr>
      <w:r>
        <w:t xml:space="preserve">12. 安全、审计和可观测性</w:t>
      </w:r>
    </w:p>
    <w:p>
      <w:pPr>
        <w:pStyle w:val="Heading2"/>
      </w:pPr>
      <w:r>
        <w:t xml:space="preserve">12.1 强制安全控制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请求、IR、LogicalPlan 和 PhysicalPlan 都带 tenant、subject、purpose 和 source scope。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未授权 source/schema/field、DML/DDL、凭据索取、预算超限与空间范围越权必须 fail closed。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只允许单个只读语句；编译后和执行前均进行 AST / database read-only defense-in-depth。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参数仅绑定值，不允许用户输入构成 table、column、operator、order expression 或 join。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Gold SQL、Gold 结果、评测判定逻辑与 runtime prompt/retrieval/产品 evidence 严格隔离。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schema/semantic/metric/template/compiler 的版本和 hash 必须写入 trace，使结果可审计与回放。</w:t>
      </w:r>
    </w:p>
    <w:p>
      <w:pPr>
        <w:pStyle w:val="Heading2"/>
      </w:pPr>
      <w:r>
        <w:t xml:space="preserve">12.2 可观测性</w:t>
      </w:r>
    </w:p>
    <w:p>
      <w:pPr>
        <w:spacing w:after="120" w:line="310"/>
      </w:pPr>
      <w:r>
        <w:t xml:space="preserve">每个请求记录如下结构化事件：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EEF3F6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87F73"/>
                <w:sz w:val="17"/>
                <w:szCs w:val="17"/>
              </w:rPr>
              <w:t xml:space="preserve">TEXT  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request_received -&gt; policy_checked -&gt; context_resolved -&gt; route_selected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-&gt; ir_proposed -&gt; validation_completed -&gt; logical_plan_built -&gt; physical_plan_compiled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-&gt; source_admitted -&gt; executed -&gt; result_validated -&gt; response_rendered</w:t>
            </w:r>
          </w:p>
        </w:tc>
      </w:tr>
    </w:tbl>
    <w:p>
      <w:pPr>
        <w:spacing w:after="120" w:line="310"/>
      </w:pPr>
      <w:r>
        <w:t xml:space="preserve">关键指标包括：route coverage、asset resolution recall、validator fail distribution、IR validity、compiler failure、legacy fallback rate、rewrite rule hit rate、p50/p95 latency、token、执行成本、结果等价率、安全拒绝 recall、资产版本漂移。</w:t>
      </w:r>
    </w:p>
    <w:p>
      <w:pPr>
        <w:pStyle w:val="Heading1"/>
      </w:pPr>
      <w:r>
        <w:t xml:space="preserve">13. Benchmark 与发布门设计</w:t>
      </w:r>
    </w:p>
    <w:p>
      <w:pPr>
        <w:spacing w:after="120" w:line="310"/>
      </w:pPr>
      <w:r>
        <w:t xml:space="preserve">Benchmark 不是开发结束后的验收脚本，而是 NL2Semantic2SQL 架构中的一等子系统。它必须和查询 runtime 使用相同的 metadata control plane、source admission、语义版本、IR/validator/compiler 合同，但必须把 Gold 判定权与 runtime 隔离。Benchmark 的作用不是给模型提供答案，而是对“问题理解 -&gt; 本体/语义资产 -&gt; IR -&gt; 计划 -&gt; 编译 -&gt; 结果”的每一层建立可复核证据。</w:t>
      </w:r>
    </w:p>
    <w:p>
      <w:pPr>
        <w:pStyle w:val="Heading2"/>
      </w:pPr>
      <w:r>
        <w:t xml:space="preserve">13.1 Benchmark 子系统架构</w:t>
      </w:r>
    </w:p>
    <w:p>
      <w:pPr>
        <w:keepNext/>
        <w:spacing w:before="160" w:after="70"/>
        <w:jc w:val="center"/>
      </w:pPr>
      <w:r>
        <w:drawing>
          <wp:inline distT="0" distB="0" distL="0" distR="0">
            <wp:extent cx="6191250" cy="2914650"/>
            <wp:effectExtent t="0" r="0" b="0" l="0"/>
            <wp:docPr id="1" name="diagram-8" descr="NL2Semantic2SQL 架构图 8" title="架构图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679"/>
          <w:sz w:val="18"/>
          <w:szCs w:val="18"/>
        </w:rPr>
        <w:t xml:space="preserve">图 8  benchmark subsystem</w:t>
      </w:r>
    </w:p>
    <w:p>
      <w:pPr>
        <w:spacing w:after="120" w:line="310"/>
      </w:pPr>
      <w:r>
        <w:t xml:space="preserve">Benchmark 子系统的边界如下：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组件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责任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当前实现/落点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Manifest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冻结 case、问题、语言、track、split、能力标签、预期状态、Gold 引用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benchmarks/abu_dhabi_nl2sql_product_v1/*_product_benchmark_v1.json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Source/asset gate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校验 source id、数据库/schema、semantic version、discovery/profile fingerprint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data_agent/free_form_nl2sql_benchmark.py</w:t>
            </w:r>
            <w:r>
              <w:rPr>
                <w:b w:val="false"/>
                <w:bCs w:val="false"/>
                <w:sz w:val="18"/>
                <w:szCs w:val="18"/>
              </w:rPr>
              <w:t xml:space="preserve"> 的 benchmark validation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authority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维护结果列、行数、指纹和等价策略；不向 runtime 暴露业务行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gold/&lt;source&gt;/*.json</w:t>
            </w:r>
            <w:r>
              <w:rPr>
                <w:b w:val="false"/>
                <w:bCs w:val="false"/>
                <w:sz w:val="18"/>
                <w:szCs w:val="18"/>
              </w:rPr>
              <w:t xml:space="preserve"> 与对应 SQL，仅供 evaluator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Runner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在固定模型、限流、并发、profile 下逐题调用产品入口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run_free_form_benchmark()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Baseline/Candidate profile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分别运行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baseline_sql</w:t>
            </w:r>
            <w:r>
              <w:rPr>
                <w:b w:val="false"/>
                <w:bCs w:val="false"/>
                <w:sz w:val="18"/>
                <w:szCs w:val="18"/>
              </w:rPr>
              <w:t xml:space="preserve"> 与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semantic_ir_experimental</w:t>
            </w:r>
            <w:r>
              <w:rPr>
                <w:b w:val="false"/>
                <w:bCs w:val="false"/>
                <w:sz w:val="18"/>
                <w:szCs w:val="18"/>
              </w:rPr>
              <w:t xml:space="preserve">，禁止隐式换路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run_governed_virtual_nl2sql()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Case evaluator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检查状态、source scope、只读、安全、结果合同、IR/plan 证据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free_form_nl2sql_benchmark._check_case()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Pairwise comparator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校验配对配置一致，按类别计算双方胜负、延迟、token 和结果等价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nl2semantic2sql_pairwise_comparison.py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Stability aggregator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多轮运行、每题通过率、行为一致性、Wilson 区间和 release gate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product_nl2sql_benchmark.py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read model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向 UI 暴露摘要、失败分布、路线与版本，不暴露 Gold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7F73"/>
                <w:sz w:val="18"/>
                <w:szCs w:val="18"/>
              </w:rPr>
              <w:t xml:space="preserve">/api/abu-dhabi/nl2semantic2sql/evidence</w:t>
            </w:r>
          </w:p>
        </w:tc>
      </w:tr>
    </w:tbl>
    <w:p>
      <w:pPr>
        <w:spacing w:after="120" w:line="310"/>
      </w:pPr>
      <w:r>
        <w:t xml:space="preserve">Benchmark 每题的最小数据合同如下：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EEF3F6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87F73"/>
                <w:sz w:val="17"/>
                <w:szCs w:val="17"/>
              </w:rPr>
              <w:t xml:space="preserve">YAML  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case_id: LIV_P06_TOP_DISTRICT_SCORE_NAMES_AR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question: business-language-only-question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language: ar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track: warehouse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split: validation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capabilities: [entity_resolution, governed_join, ranking]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expected: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status: ok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gold_result_contract: evaluation-only-reference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provenance: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used_for_prompt_or_runtime_assets: false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version_pins: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metadata_fingerprint: exact-evaluation-only-reference</w:t>
            </w:r>
          </w:p>
        </w:tc>
      </w:tr>
    </w:tbl>
    <w:p>
      <w:pPr>
        <w:spacing w:after="120" w:line="310"/>
      </w:pPr>
      <w:r>
        <w:t xml:space="preserve">一次运行报告必须附带：manifest hash、source id/database/schema、discovery 与 profile fingerprint、治理策略版本、ontology/semantic/metric/template 版本、model/reasoning、request interval、concurrency、execution profile、case-level trace、failure class 和结果合同。任何关键身份漂移都使运行不可比较，而不是自动合并。</w:t>
      </w:r>
    </w:p>
    <w:p>
      <w:pPr>
        <w:pStyle w:val="Heading2"/>
      </w:pPr>
      <w:r>
        <w:t xml:space="preserve">13.2 评测集组成</w:t>
      </w:r>
    </w:p>
    <w:p>
      <w:pPr>
        <w:spacing w:after="120" w:line="310"/>
      </w:pPr>
      <w:r>
        <w:t xml:space="preserve">对每个 source 维护冻结 manifest，问题使用业务语言，不含表名、字段名、SQL 或函数泄漏：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Track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覆盖内容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必测证据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Warehouse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指标、join、group/time、ranking、值过滤、grain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metric resolution、join/grain/result equivalence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GIS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contains/within/intersects、面积/距离、CRS、空间去重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predicate/role/unit/CRS/result correctness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空间筛选后的业务聚合、时空 group-by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同一 LogicalPlan 的关系和聚合语义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Safety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写操作、凭据、未绑定 source、越权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refusal precision/recall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Cross-source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独立聚合与并列展示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各 source 子计划与 merge contract</w:t>
            </w:r>
          </w:p>
        </w:tc>
      </w:tr>
    </w:tbl>
    <w:p>
      <w:pPr>
        <w:spacing w:after="120" w:line="310"/>
      </w:pPr>
      <w:r>
        <w:t xml:space="preserve">每个 track 有 validation 与 holdout split。Gold SQL/Gold result contract 仅供 benchmark evaluator 使用，不得进入 prompt、few-shot、ContextAsset 或 UI response。</w:t>
      </w:r>
    </w:p>
    <w:p>
      <w:pPr>
        <w:pStyle w:val="Heading2"/>
      </w:pPr>
      <w:r>
        <w:t xml:space="preserve">13.3 分层评测：IR 是一等评测对象</w:t>
      </w:r>
    </w:p>
    <w:p>
      <w:pPr>
        <w:spacing w:after="120" w:line="310"/>
      </w:pPr>
      <w:r>
        <w:t xml:space="preserve">Benchmark 不能只判断“SQL 是否执行成功”或“最终结果是否碰巧正确”，而必须沿查询架构逐层记录证据：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EEF3F6" w:val="clea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87F73"/>
                <w:sz w:val="17"/>
                <w:szCs w:val="17"/>
              </w:rPr>
              <w:t xml:space="preserve">TEXT  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问题理解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-&gt; 本体/语义资产解析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-&gt; SemanticQueryIR 合同有效性与语义正确性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-&gt; validator 路由和失败判断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-&gt; LogicalPlan 正确性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-&gt; PhysicalPlan / compiler 正确性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-&gt; 执行结果等价性</w:t>
            </w:r>
          </w:p>
          <w:p>
            <w:pPr>
              <w:spacing w:after="0" w:line="235"/>
            </w:pPr>
            <w:r>
              <w:rPr>
                <w:rFonts w:ascii="Courier New" w:cs="Courier New" w:eastAsia="Courier New" w:hAnsi="Courier New"/>
                <w:color w:val="192435"/>
                <w:sz w:val="17"/>
                <w:szCs w:val="17"/>
              </w:rPr>
              <w:t xml:space="preserve">  -&gt; 展示和解释正确性</w:t>
            </w:r>
          </w:p>
        </w:tc>
      </w:tr>
    </w:tbl>
    <w:p>
      <w:pPr>
        <w:spacing w:after="120" w:line="310"/>
      </w:pPr>
      <w:r>
        <w:t xml:space="preserve">至少记录以下 IR 级指标：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定义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IR contract validity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IR 是否符合 schema、类型、数量和禁止字段约束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判断模型是否遵守 IR 合同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semantic asset resolution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IR 中的 entity、field、metric、relation 是否命中 active 资产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区分本体/语义层检索失败与模型表达失败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relation/role correctness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等值关系、空间关系及左右实体角色是否正确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诊断 join 和 GIS 空间语义错误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grain/additivity correctness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聚合粒度、去重和可加性是否符合语义模型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防止 SQL 可执行但口径错误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decision correctness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应通过的 IR 是否通过，应拒绝的 IR 是否拒绝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评估治理边界而非只评估生成能力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logical-plan equivalence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IR 转换出的算子图是否符合 gold 逻辑合同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定位 compiler 之前的计划错误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physical/result equivalence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编译后的计划和最终结果是否与 Gold 等价</w:t>
            </w:r>
          </w:p>
        </w:tc>
        <w:tc>
          <w:tcPr>
            <w:tcW w:type="dxa" w:w="312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评估真实查询效果</w:t>
            </w:r>
          </w:p>
        </w:tc>
      </w:tr>
    </w:tbl>
    <w:p>
      <w:pPr>
        <w:spacing w:after="120" w:line="310"/>
      </w:pPr>
      <w:r>
        <w:t xml:space="preserve">基线路线也要保存可比的逻辑诊断投影，但不能把“从基线 SQL 反解析出 IR 的 shadow 证据”当成候选 compiler 已经成功。候选路线必须直接由 IR 生成 PhysicalPlan；如果 IR 无法表达问题，应报告 </w:t>
      </w:r>
      <w:r>
        <w:rPr>
          <w:rFonts w:ascii="Courier New" w:cs="Courier New" w:eastAsia="Courier New" w:hAnsi="Courier New"/>
          <w:color w:val="087F73"/>
        </w:rPr>
        <w:t xml:space="preserve">capability_unsupported</w:t>
      </w:r>
      <w:r>
        <w:t xml:space="preserve">，不能偷偷改走基线 SQL后计为候选通过。</w:t>
      </w:r>
    </w:p>
    <w:p>
      <w:pPr>
        <w:pStyle w:val="Heading2"/>
      </w:pPr>
      <w:r>
        <w:t xml:space="preserve">13.4 基线与候选的严谨对比</w:t>
      </w:r>
    </w:p>
    <w:p>
      <w:pPr>
        <w:keepNext/>
        <w:spacing w:before="160" w:after="70"/>
        <w:jc w:val="center"/>
      </w:pPr>
      <w:r>
        <w:drawing>
          <wp:inline distT="0" distB="0" distL="0" distR="0">
            <wp:extent cx="6191250" cy="2295525"/>
            <wp:effectExtent t="0" r="0" b="0" l="0"/>
            <wp:docPr id="1" name="diagram-9" descr="NL2Semantic2SQL 架构图 9" title="架构图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679"/>
          <w:sz w:val="18"/>
          <w:szCs w:val="18"/>
        </w:rPr>
        <w:t xml:space="preserve">图 9  pairwise release</w:t>
      </w:r>
    </w:p>
    <w:p>
      <w:pPr>
        <w:spacing w:after="120" w:line="310"/>
      </w:pPr>
      <w:r>
        <w:t xml:space="preserve">同一次对比必须锁定：benchmark manifest、source/discovery/profile/governance metadata fingerprint、ontology/semantic version、model 与推理参数、限流、并发、超时、执行器和 evaluator 版本。候选在失败时不得改走基线 SQL；否则结果必须标记为 </w:t>
      </w:r>
      <w:r>
        <w:rPr>
          <w:rFonts w:ascii="Courier New" w:cs="Courier New" w:eastAsia="Courier New" w:hAnsi="Courier New"/>
          <w:color w:val="087F73"/>
        </w:rPr>
        <w:t xml:space="preserve">legacy_fallback</w:t>
      </w:r>
      <w:r>
        <w:t xml:space="preserve"> 并从候选编译器分数剔除。</w:t>
      </w:r>
    </w:p>
    <w:p>
      <w:pPr>
        <w:pStyle w:val="Heading2"/>
      </w:pPr>
      <w:r>
        <w:t xml:space="preserve">13.5 发布门</w:t>
      </w:r>
    </w:p>
    <w:p>
      <w:pPr>
        <w:spacing w:after="120" w:line="310"/>
      </w:pPr>
      <w:r>
        <w:t xml:space="preserve">以能力集而非整条系统一次性切换。每个 capability 进入 selective serve 前必须满足：</w:t>
      </w:r>
    </w:p>
    <w:p>
      <w:pPr>
        <w:spacing w:after="80" w:line="290"/>
        <w:ind w:left="600" w:hanging="340"/>
      </w:pPr>
      <w:r>
        <w:t xml:space="preserve">1. </w:t>
      </w:r>
      <w:r>
        <w:t xml:space="preserve">对应 IR/validator/compiler 有 LLM-free golden tests 和 source admission tests。</w:t>
      </w:r>
    </w:p>
    <w:p>
      <w:pPr>
        <w:spacing w:after="80" w:line="290"/>
        <w:ind w:left="600" w:hanging="340"/>
      </w:pPr>
      <w:r>
        <w:t xml:space="preserve">2. </w:t>
      </w:r>
      <w:r>
        <w:t xml:space="preserve">与基线在相同冻结题集、相同真实数据源快照上做配对运行；结果以结果合同等价性判定，不比较 SQL 文本。</w:t>
      </w:r>
    </w:p>
    <w:p>
      <w:pPr>
        <w:spacing w:after="80" w:line="290"/>
        <w:ind w:left="600" w:hanging="340"/>
      </w:pPr>
      <w:r>
        <w:t xml:space="preserve">3. </w:t>
      </w:r>
      <w:r>
        <w:t xml:space="preserve">不将共享 metric-contract 控制路径计为候选优势；单独公布 free-form IR 成绩。</w:t>
      </w:r>
    </w:p>
    <w:p>
      <w:pPr>
        <w:spacing w:after="80" w:line="290"/>
        <w:ind w:left="600" w:hanging="340"/>
      </w:pPr>
      <w:r>
        <w:t xml:space="preserve">4. </w:t>
      </w:r>
      <w:r>
        <w:t xml:space="preserve">安全拒绝率为 100%，越权泄露为 0；网络失败与模型失败分离。</w:t>
      </w:r>
    </w:p>
    <w:p>
      <w:pPr>
        <w:spacing w:after="80" w:line="290"/>
        <w:ind w:left="600" w:hanging="340"/>
      </w:pPr>
      <w:r>
        <w:t xml:space="preserve">5. </w:t>
      </w:r>
      <w:r>
        <w:t xml:space="preserve">GIS capability 不得相对基线出现超过预先批准阈值的回退；新增 warehouse/mixed capability 必须达到预先批准的置信区间或配对显著性门。</w:t>
      </w:r>
    </w:p>
    <w:p>
      <w:pPr>
        <w:spacing w:after="80" w:line="290"/>
        <w:ind w:left="600" w:hanging="340"/>
      </w:pPr>
      <w:r>
        <w:t xml:space="preserve">6. </w:t>
      </w:r>
      <w:r>
        <w:t xml:space="preserve">trace 中 source/model/semantic/IR/compiler/result 版本完整，且可复放。</w:t>
      </w:r>
    </w:p>
    <w:p>
      <w:pPr>
        <w:spacing w:after="80" w:line="290"/>
        <w:ind w:left="600" w:hanging="340"/>
      </w:pPr>
      <w:r>
        <w:t xml:space="preserve">7. </w:t>
      </w:r>
      <w:r>
        <w:t xml:space="preserve">legacy fallback 必须带 capability gap code；达到门槛前不能被隐藏为候选成功。</w:t>
      </w:r>
    </w:p>
    <w:p>
      <w:pPr>
        <w:spacing w:after="120" w:line="310"/>
      </w:pPr>
      <w:r>
        <w:t xml:space="preserve">当前冻结 Abu Dhabi 产品 benchmark 的历史结果属于基线证据。候选 compiler 的真实业务库配对结果因业务源网络暂不可用而待执行，不能用历史 shadow IR 报告替代。</w:t>
      </w:r>
    </w:p>
    <w:p>
      <w:pPr>
        <w:pStyle w:val="Heading1"/>
      </w:pPr>
      <w:r>
        <w:t xml:space="preserve">14. 迁移路线和验收标准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交付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验收标准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生产状态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0. Baseline freeze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三类 benchmark、trace schema、错误分类、metadata fingerprint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可复跑、Gold 与运行时隔离、基线结果可审计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基线默认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Asset convergence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ContextAsset、metadata version gate、canonical crosswalk、metric-first 路由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active metric 从任何入口产生同一 plan fingerprint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基线默认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IR vertical slice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v1 contracts、PostGIS compiler、LLM 受限 IR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支持集 golden 通过；新旧 shadow 无显著退步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shadow/canary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Template + mixed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模板 authority、澄清、mixed LogicalPlan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模板参数不可越权；mixed holdout 达门槛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selective serve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4. Multi-engine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capability matrix、跨引擎 conformance、rewrite 迁移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认证 IR 在每个允许引擎结果等价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capability-based serve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5. Operationalization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feedback 晋级、failure reflection、运营仪表盘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未审核资产零进入高信任执行路径；fallback 可量化下降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 new path</w:t>
            </w:r>
          </w:p>
        </w:tc>
      </w:tr>
    </w:tbl>
    <w:p>
      <w:pPr>
        <w:pStyle w:val="Heading2"/>
      </w:pPr>
      <w:r>
        <w:t xml:space="preserve">14.1 近期可执行工作包</w:t>
      </w:r>
    </w:p>
    <w:p>
      <w:pPr>
        <w:spacing w:after="80" w:line="290"/>
        <w:ind w:left="600" w:hanging="340"/>
      </w:pPr>
      <w:r>
        <w:t xml:space="preserve">1. </w:t>
      </w:r>
      <w:r>
        <w:t xml:space="preserve">完成两个新业务库的发现快照、数据字典 crosswalk 和语义资产审核队列，不将技术目录数量误报为已完整本体覆盖。</w:t>
      </w:r>
    </w:p>
    <w:p>
      <w:pPr>
        <w:spacing w:after="80" w:line="290"/>
        <w:ind w:left="600" w:hanging="340"/>
      </w:pPr>
      <w:r>
        <w:t xml:space="preserve">2. </w:t>
      </w:r>
      <w:r>
        <w:t xml:space="preserve">将当前 </w:t>
      </w:r>
      <w:r>
        <w:rPr>
          <w:rFonts w:ascii="Courier New" w:cs="Courier New" w:eastAsia="Courier New" w:hAnsi="Courier New"/>
          <w:color w:val="087F73"/>
        </w:rPr>
        <w:t xml:space="preserve">AdHocSemanticQueryIR</w:t>
      </w:r>
      <w:r>
        <w:t xml:space="preserve"> 统一为版本化合同并补 warehouse、spatial、policy validator 的缺口测试。</w:t>
      </w:r>
    </w:p>
    <w:p>
      <w:pPr>
        <w:spacing w:after="80" w:line="290"/>
        <w:ind w:left="600" w:hanging="340"/>
      </w:pPr>
      <w:r>
        <w:t xml:space="preserve">3. </w:t>
      </w:r>
      <w:r>
        <w:t xml:space="preserve">为当前支持 capability 恢复真实 LAN 后的 baseline-vs-candidate 配对 benchmark；先做小探针，再跑完整冻结集和重复稳定性。</w:t>
      </w:r>
    </w:p>
    <w:p>
      <w:pPr>
        <w:spacing w:after="80" w:line="290"/>
        <w:ind w:left="600" w:hanging="340"/>
      </w:pPr>
      <w:r>
        <w:t xml:space="preserve">4. </w:t>
      </w:r>
      <w:r>
        <w:t xml:space="preserve">将 UI 的 evidence read model 固化为上述页面信息契约，并增加配对 benchmark 的 route/分层结果展示；不得把评测 Gold 暴露给运行时。</w:t>
      </w:r>
    </w:p>
    <w:p>
      <w:pPr>
        <w:spacing w:after="80" w:line="290"/>
        <w:ind w:left="600" w:hanging="340"/>
      </w:pPr>
      <w:r>
        <w:t xml:space="preserve">5. </w:t>
      </w:r>
      <w:r>
        <w:t xml:space="preserve">针对失败分类补语义资产或 compiler capability；禁止围绕 benchmark 问题、真实表名或 Gold SQL 增加 prompt 特例。</w:t>
      </w:r>
    </w:p>
    <w:p>
      <w:pPr>
        <w:pStyle w:val="Heading2"/>
      </w:pPr>
      <w:r>
        <w:t xml:space="preserve">14.2 设计采纳的完成定义</w:t>
      </w:r>
    </w:p>
    <w:p>
      <w:pPr>
        <w:spacing w:after="120" w:line="310"/>
      </w:pPr>
      <w:r>
        <w:t xml:space="preserve">本设计只有在以下事实同时成立时才可标记为“已落地”：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标准 metric/template 不依赖 LLM authored SQL；自由问数由受限 IR 驱动并由 compiler 生成 SQL。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本体与语义层均存在可审查版本、清晰写权威、产品可见状态和执行前使用证据。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任何执行都绑定精确 source/resource/discovery-profile-governance metadata/semantic/metric/template/compiler 版本。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warehouse、GIS 和 mixed 使用同一入口、IR spine、policy 与 evidence contract。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跨源边界被产品和 evaluator 如实执行，未经批准的跨库 join 不可发生。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每个能力集通过真实配对 benchmark、安全和稳定性门；设计路线的优势用结果证明，而不是用架构文字声称。</w:t>
      </w:r>
    </w:p>
    <w:p>
      <w:pPr>
        <w:pStyle w:val="Heading1"/>
      </w:pPr>
      <w:r>
        <w:t xml:space="preserve">15. 架构决策记录摘要</w:t>
      </w:r>
    </w:p>
    <w:p>
      <w:pPr>
        <w:pStyle w:val="Heading2"/>
      </w:pPr>
      <w:r>
        <w:t xml:space="preserve">ADR-UQ-001：统一 IR，不建设双 pipeline</w:t>
      </w:r>
    </w:p>
    <w:p>
      <w:pPr>
        <w:spacing w:after="120" w:line="310"/>
      </w:pPr>
      <w:r>
        <w:rPr>
          <w:b/>
          <w:bCs/>
        </w:rPr>
        <w:t xml:space="preserve">状态：</w:t>
      </w:r>
      <w:r>
        <w:t xml:space="preserve"> Proposed</w:t>
      </w:r>
    </w:p>
    <w:p>
      <w:pPr>
        <w:spacing w:after="120" w:line="310"/>
      </w:pPr>
      <w:r>
        <w:rPr>
          <w:b/>
          <w:bCs/>
        </w:rPr>
        <w:t xml:space="preserve">决策：</w:t>
      </w:r>
      <w:r>
        <w:t xml:space="preserve"> 使用一套 </w:t>
      </w:r>
      <w:r>
        <w:rPr>
          <w:rFonts w:ascii="Courier New" w:cs="Courier New" w:eastAsia="Courier New" w:hAnsi="Courier New"/>
          <w:color w:val="087F73"/>
        </w:rPr>
        <w:t xml:space="preserve">TaskFrame -&gt; SemanticQueryIR -&gt; LogicalPlan -&gt; compiler</w:t>
      </w:r>
      <w:r>
        <w:t xml:space="preserve"> 主链，GIS 作为空间 capability 组合。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方案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优点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代价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shd w:fill="DCEBE8" w:val="clear"/>
            <w:vAlign w:val="center"/>
          </w:tcPr>
          <w:p>
            <w:pPr>
              <w:spacing w:after="35" w:line="250"/>
            </w:pPr>
            <w:r>
              <w:rPr>
                <w:b/>
                <w:bCs/>
                <w:sz w:val="18"/>
                <w:szCs w:val="18"/>
              </w:rPr>
              <w:t xml:space="preserve">决策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Warehouse 与 GIS 两条 pipeline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局部短期交付快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资产、治理、测试重复；mixed query 不自然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拒绝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SQL 为唯一中间表示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改动小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语义只能生成后修补，难做跨引擎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拒绝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统一 IR + capability extensions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组合、验证、迁移清晰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需要先投资合同和 compiler</w:t>
            </w:r>
          </w:p>
        </w:tc>
        <w:tc>
          <w:tcPr>
            <w:tcW w:type="dxa" w:w="2340"/>
            <w:tcBorders>
              <w:top w:val="single" w:color="D9E2EB" w:sz="1"/>
              <w:left w:val="single" w:color="D9E2EB" w:sz="1"/>
              <w:bottom w:val="single" w:color="D9E2EB" w:sz="1"/>
              <w:right w:val="single" w:color="D9E2EB" w:sz="1"/>
            </w:tcBorders>
            <w:vAlign w:val="center"/>
          </w:tcPr>
          <w:p>
            <w:pPr>
              <w:spacing w:after="35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选择</w:t>
            </w:r>
          </w:p>
        </w:tc>
      </w:tr>
    </w:tbl>
    <w:p>
      <w:pPr>
        <w:spacing w:after="120" w:line="310"/>
      </w:pPr>
      <w:r>
        <w:rPr>
          <w:b/>
          <w:bCs/>
        </w:rPr>
        <w:t xml:space="preserve">重审触发：</w:t>
      </w:r>
      <w:r>
        <w:t xml:space="preserve"> 若统一 IR 无法以 capability 扩展表达经验证的高价值工作负载，且拆分能明显降低语义/治理复杂度。</w:t>
      </w:r>
    </w:p>
    <w:p>
      <w:pPr>
        <w:pStyle w:val="Heading2"/>
      </w:pPr>
      <w:r>
        <w:t xml:space="preserve">ADR-UQ-002：本体提供理解，语义层拥有可执行绑定</w:t>
      </w:r>
    </w:p>
    <w:p>
      <w:pPr>
        <w:spacing w:after="120" w:line="310"/>
      </w:pPr>
      <w:r>
        <w:rPr>
          <w:b/>
          <w:bCs/>
        </w:rPr>
        <w:t xml:space="preserve">状态：</w:t>
      </w:r>
      <w:r>
        <w:t xml:space="preserve"> Proposed</w:t>
      </w:r>
    </w:p>
    <w:p>
      <w:pPr>
        <w:spacing w:after="120" w:line="310"/>
      </w:pPr>
      <w:r>
        <w:rPr>
          <w:b/>
          <w:bCs/>
        </w:rPr>
        <w:t xml:space="preserve">决策：</w:t>
      </w:r>
      <w:r>
        <w:t xml:space="preserve"> 本体/搜索索引不直接授权执行；只有 active SemanticModelVersion、MetricDefinitionVersion、TemplateVersion 与 Source/ProductVersion 可被 compiler 使用。</w:t>
      </w:r>
    </w:p>
    <w:p>
      <w:pPr>
        <w:spacing w:after="120" w:line="310"/>
      </w:pPr>
      <w:r>
        <w:rPr>
          <w:b/>
          <w:bCs/>
        </w:rPr>
        <w:t xml:space="preserve">取舍：</w:t>
      </w:r>
      <w:r>
        <w:t xml:space="preserve"> 自动发现的概念更快进入检索，但必须经过审核才能进入执行路径；接受较慢的资产晋级，以换取业务正确性和审计性。</w:t>
      </w:r>
    </w:p>
    <w:p>
      <w:pPr>
        <w:pStyle w:val="Heading2"/>
      </w:pPr>
      <w:r>
        <w:t xml:space="preserve">ADR-UQ-003：确定性生产编排，受限 agentic 仅用于诊断</w:t>
      </w:r>
    </w:p>
    <w:p>
      <w:pPr>
        <w:spacing w:after="120" w:line="310"/>
      </w:pPr>
      <w:r>
        <w:rPr>
          <w:b/>
          <w:bCs/>
        </w:rPr>
        <w:t xml:space="preserve">状态：</w:t>
      </w:r>
      <w:r>
        <w:t xml:space="preserve"> Proposed</w:t>
      </w:r>
    </w:p>
    <w:p>
      <w:pPr>
        <w:spacing w:after="120" w:line="310"/>
      </w:pPr>
      <w:r>
        <w:rPr>
          <w:b/>
          <w:bCs/>
        </w:rPr>
        <w:t xml:space="preserve">决策：</w:t>
      </w:r>
      <w:r>
        <w:t xml:space="preserve"> 生产主链由确定性 router/validator/compiler 编排。诊断模式可让模型调用检索、验证和 dry-run 工具，但不授予任意 SQL 或 source access。</w:t>
      </w:r>
    </w:p>
    <w:p>
      <w:pPr>
        <w:spacing w:after="120" w:line="310"/>
      </w:pPr>
      <w:r>
        <w:rPr>
          <w:b/>
          <w:bCs/>
        </w:rPr>
        <w:t xml:space="preserve">重审触发：</w:t>
      </w:r>
      <w:r>
        <w:t xml:space="preserve"> 生产中存在已量化且无法通过受限 IR/澄清解决的复杂问题，并能证明受限 agentic loop 的安全、成本和稳定性。</w:t>
      </w:r>
    </w:p>
    <w:p>
      <w:pPr>
        <w:pStyle w:val="Heading2"/>
      </w:pPr>
      <w:r>
        <w:t xml:space="preserve">ADR-UQ-004：渐进迁移，不做 big-bang rewrite</w:t>
      </w:r>
    </w:p>
    <w:p>
      <w:pPr>
        <w:spacing w:after="120" w:line="310"/>
      </w:pPr>
      <w:r>
        <w:rPr>
          <w:b/>
          <w:bCs/>
        </w:rPr>
        <w:t xml:space="preserve">状态：</w:t>
      </w:r>
      <w:r>
        <w:t xml:space="preserve"> Proposed</w:t>
      </w:r>
    </w:p>
    <w:p>
      <w:pPr>
        <w:spacing w:after="120" w:line="310"/>
      </w:pPr>
      <w:r>
        <w:rPr>
          <w:b/>
          <w:bCs/>
        </w:rPr>
        <w:t xml:space="preserve">决策：</w:t>
      </w:r>
      <w:r>
        <w:t xml:space="preserve"> 按 capability 执行 </w:t>
      </w:r>
      <w:r>
        <w:rPr>
          <w:rFonts w:ascii="Courier New" w:cs="Courier New" w:eastAsia="Courier New" w:hAnsi="Courier New"/>
          <w:color w:val="087F73"/>
        </w:rPr>
        <w:t xml:space="preserve">observe -&gt; shadow -&gt; selective serve -&gt; default new -&gt; retire</w:t>
      </w:r>
      <w:r>
        <w:t xml:space="preserve">。legacy rewrite 规则逐条迁移并记录去向。</w:t>
      </w:r>
    </w:p>
    <w:p>
      <w:pPr>
        <w:spacing w:after="120" w:line="310"/>
      </w:pPr>
      <w:r>
        <w:rPr>
          <w:b/>
          <w:bCs/>
        </w:rPr>
        <w:t xml:space="preserve">取舍：</w:t>
      </w:r>
      <w:r>
        <w:t xml:space="preserve"> 迁移期两条路径并存、短期复杂度上升；通过明确 fallback expiry、pairwise comparator 和 route metrics 控制该成本。</w:t>
      </w:r>
    </w:p>
    <w:p>
      <w:pPr>
        <w:pStyle w:val="Heading2"/>
      </w:pPr>
      <w:r>
        <w:t xml:space="preserve">ADR-UQ-005：元数据是版本化控制面，不是 prompt 附件</w:t>
      </w:r>
    </w:p>
    <w:p>
      <w:pPr>
        <w:spacing w:after="120" w:line="310"/>
      </w:pPr>
      <w:r>
        <w:rPr>
          <w:b/>
          <w:bCs/>
        </w:rPr>
        <w:t xml:space="preserve">状态：</w:t>
      </w:r>
      <w:r>
        <w:t xml:space="preserve"> Proposed</w:t>
      </w:r>
    </w:p>
    <w:p>
      <w:pPr>
        <w:spacing w:after="120" w:line="310"/>
      </w:pPr>
      <w:r>
        <w:rPr>
          <w:b/>
          <w:bCs/>
        </w:rPr>
        <w:t xml:space="preserve">决策：</w:t>
      </w:r>
      <w:r>
        <w:t xml:space="preserve"> 将技术、Profile/质量、治理和运营元数据收敛到 canonical metadata control plane；它为本体/语义资产审核提供事实证据，并在两条查询路线运行时参与 ContextAsset 过滤、validator、source admission、drift gate、execution trace 和 Benchmark 可比性判断。</w:t>
      </w:r>
    </w:p>
    <w:p>
      <w:pPr>
        <w:spacing w:after="120" w:line="310"/>
      </w:pPr>
      <w:r>
        <w:rPr>
          <w:b/>
          <w:bCs/>
        </w:rPr>
        <w:t xml:space="preserve">取舍：</w:t>
      </w:r>
      <w:r>
        <w:t xml:space="preserve"> 这增加了 discovery、fingerprint、版本失效和 UI evidence 的建设成本；换取的是不把“模型碰巧看到的 schema”误当作稳定业务语义，且能让 schema/权限变化立即、可审计地阻断错误执行和无效 benchmark 结论。</w:t>
      </w:r>
    </w:p>
    <w:p>
      <w:pPr>
        <w:pStyle w:val="Heading1"/>
      </w:pPr>
      <w:r>
        <w:t xml:space="preserve">16. 相关实现与依据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架构评审输入：GIS-Data-Agent-unified-intelligent-query-improvement-plan.md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当前基线/canary 入口：governed_virtual_nl2sql.py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当前 IR、逻辑/物理计划和 compiler 子集：semantic_query_ir.py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产品 evidence/执行 API：abu_dhabi_nl2sql_product_routes.py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已有产品 UI：AbuDhabiNl2SqlProductTab.tsx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历史路线与当前实现状态说明（非本设计的替代物）：abu_dhabi_nl2semantic2sql_technical_route_review_2026-08-20.md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9"/>
        <w:sz w:val="16"/>
        <w:szCs w:val="16"/>
      </w:rPr>
      <w:t xml:space="preserve">技术架构评审稿  |  </w:t>
    </w:r>
    <w:r>
      <w:rPr>
        <w:color w:val="5B667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9"/>
        <w:sz w:val="16"/>
        <w:szCs w:val="16"/>
      </w:rPr>
      <w:t xml:space="preserve">GIS Data Agent · 统一 NL2Semantic2SQL 技术架构设计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9243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80"/>
    </w:pPr>
    <w:rPr>
      <w:rFonts w:ascii="Microsoft YaHei" w:cs="Microsoft YaHei" w:eastAsia="Microsoft YaHei" w:hAnsi="Microsoft YaHei"/>
      <w:b/>
      <w:bCs/>
      <w:color w:val="14233A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Microsoft YaHei" w:cs="Microsoft YaHei" w:eastAsia="Microsoft YaHei" w:hAnsi="Microsoft YaHei"/>
      <w:b/>
      <w:bCs/>
      <w:color w:val="14233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Microsoft YaHei" w:cs="Microsoft YaHei" w:eastAsia="Microsoft YaHei" w:hAnsi="Microsoft YaHei"/>
      <w:b/>
      <w:bCs/>
      <w:color w:val="087F73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70" w:after="90"/>
      <w:outlineLvl w:val="2"/>
    </w:pPr>
    <w:rPr>
      <w:rFonts w:ascii="Microsoft YaHei" w:cs="Microsoft YaHei" w:eastAsia="Microsoft YaHei" w:hAnsi="Microsoft YaHei"/>
      <w:b/>
      <w:bCs/>
      <w:color w:val="192435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40" w:after="70"/>
      <w:outlineLvl w:val="3"/>
    </w:pPr>
    <w:rPr>
      <w:rFonts w:ascii="Microsoft YaHei" w:cs="Microsoft YaHei" w:eastAsia="Microsoft YaHei" w:hAnsi="Microsoft YaHei"/>
      <w:b/>
      <w:bCs/>
      <w:color w:val="5B667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b65a58352767004d89e218fd2059df9a45dcd95f.png"/><Relationship Id="rId9" Type="http://schemas.openxmlformats.org/officeDocument/2006/relationships/image" Target="media/ee63e07db455662ccbe6282313700ef0bcaa434d.png"/><Relationship Id="rId10" Type="http://schemas.openxmlformats.org/officeDocument/2006/relationships/image" Target="media/690873daf28ec5eff5655abd2fa1f7ebe3353f9d.png"/><Relationship Id="rId11" Type="http://schemas.openxmlformats.org/officeDocument/2006/relationships/image" Target="media/8ab6f2212917e6f5383efbf219ac6804c0459566.png"/><Relationship Id="rId12" Type="http://schemas.openxmlformats.org/officeDocument/2006/relationships/image" Target="media/aef6e0e7d27d4d9f417c7eeef375c65d786476ac.png"/><Relationship Id="rId13" Type="http://schemas.openxmlformats.org/officeDocument/2006/relationships/image" Target="media/fd9c8eabe1585f5530b066fd9104dd3d7e20ae9f.png"/><Relationship Id="rId14" Type="http://schemas.openxmlformats.org/officeDocument/2006/relationships/image" Target="media/8cd00d7794fc5b5db855b71710cf67944fe507ad.png"/><Relationship Id="rId15" Type="http://schemas.openxmlformats.org/officeDocument/2006/relationships/image" Target="media/6ee39c0896284094ca0edb45d35fb87682ab5561.png"/><Relationship Id="rId16" Type="http://schemas.openxmlformats.org/officeDocument/2006/relationships/image" Target="media/9a80b119b58a70baf96657be6f1f94fd68a1bb76.pn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GIS Data Agent 统一 NL2Semantic2SQL 技术架构设计</dc:title>
  <dc:subject>Abu Dhabi Liveability 与 Makani 智能问数产品技术架构</dc:subject>
  <dc:creator>GIS Data Agent</dc:creator>
  <dc:description>元数据、本体、语义层、SemanticQueryIR、编译执行和 Benchmark 一体化设计</dc:description>
  <cp:lastModifiedBy>Un-named</cp:lastModifiedBy>
  <cp:revision>1</cp:revision>
  <dcterms:created xsi:type="dcterms:W3CDTF">2026-08-20T16:01:00.624Z</dcterms:created>
  <dcterms:modified xsi:type="dcterms:W3CDTF">2026-08-20T16:01:00.624Z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