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81235" w14:textId="77777777" w:rsidR="007D35A3" w:rsidRDefault="00000000">
      <w:pPr>
        <w:pStyle w:val="a3"/>
        <w:spacing w:after="200"/>
        <w:jc w:val="center"/>
      </w:pPr>
      <w:r>
        <w:t xml:space="preserve">TWM </w:t>
      </w:r>
      <w:r>
        <w:t>与</w:t>
      </w:r>
      <w:r>
        <w:t xml:space="preserve"> GeoSOS-FLUS </w:t>
      </w:r>
      <w:r>
        <w:t>对比验证总结报告</w:t>
      </w:r>
    </w:p>
    <w:p w14:paraId="6D2F77FD" w14:textId="77777777" w:rsidR="007D35A3" w:rsidRDefault="00000000">
      <w:pPr>
        <w:jc w:val="center"/>
      </w:pPr>
      <w:r>
        <w:rPr>
          <w:color w:val="555555"/>
          <w:sz w:val="22"/>
          <w:szCs w:val="22"/>
        </w:rPr>
        <w:t>生成日期：</w:t>
      </w:r>
      <w:r>
        <w:rPr>
          <w:color w:val="555555"/>
          <w:sz w:val="22"/>
          <w:szCs w:val="22"/>
        </w:rPr>
        <w:t>2026-06-23</w:t>
      </w:r>
    </w:p>
    <w:p w14:paraId="511B2051" w14:textId="77777777" w:rsidR="007D35A3" w:rsidRDefault="00000000">
      <w:pPr>
        <w:jc w:val="center"/>
      </w:pPr>
      <w:r>
        <w:rPr>
          <w:color w:val="555555"/>
          <w:sz w:val="20"/>
          <w:szCs w:val="20"/>
        </w:rPr>
        <w:t>证据来源：本地</w:t>
      </w:r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GeoSOS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DongGuan</w:t>
      </w:r>
      <w:proofErr w:type="spellEnd"/>
      <w:r>
        <w:rPr>
          <w:color w:val="555555"/>
          <w:sz w:val="20"/>
          <w:szCs w:val="20"/>
        </w:rPr>
        <w:t xml:space="preserve"> 80m </w:t>
      </w:r>
      <w:r>
        <w:rPr>
          <w:color w:val="555555"/>
          <w:sz w:val="20"/>
          <w:szCs w:val="20"/>
        </w:rPr>
        <w:t>教程数据、</w:t>
      </w:r>
      <w:r>
        <w:rPr>
          <w:color w:val="555555"/>
          <w:sz w:val="20"/>
          <w:szCs w:val="20"/>
        </w:rPr>
        <w:t xml:space="preserve">GeoSOS-FLUS V2.4 </w:t>
      </w:r>
      <w:r>
        <w:rPr>
          <w:color w:val="555555"/>
          <w:sz w:val="20"/>
          <w:szCs w:val="20"/>
        </w:rPr>
        <w:t>官方样例数据、</w:t>
      </w:r>
      <w:r>
        <w:rPr>
          <w:color w:val="555555"/>
          <w:sz w:val="20"/>
          <w:szCs w:val="20"/>
        </w:rPr>
        <w:t xml:space="preserve">Google Earth Engine Dynamic World admin20 </w:t>
      </w:r>
      <w:r>
        <w:rPr>
          <w:color w:val="555555"/>
          <w:sz w:val="20"/>
          <w:szCs w:val="20"/>
        </w:rPr>
        <w:t>公开多区域数据。</w:t>
      </w:r>
    </w:p>
    <w:p w14:paraId="18B3A390" w14:textId="77777777" w:rsidR="007D35A3" w:rsidRDefault="00000000">
      <w:r>
        <w:br w:type="page"/>
      </w:r>
    </w:p>
    <w:p w14:paraId="3E968083" w14:textId="48FC5A76" w:rsidR="007D35A3" w:rsidRDefault="00000000">
      <w:pPr>
        <w:pStyle w:val="1"/>
        <w:spacing w:after="100"/>
        <w:rPr>
          <w:rFonts w:hint="eastAsia"/>
        </w:rPr>
      </w:pPr>
      <w:r>
        <w:lastRenderedPageBreak/>
        <w:t>一、结论先行</w:t>
      </w:r>
    </w:p>
    <w:p w14:paraId="6684BA35" w14:textId="326FEF10" w:rsidR="007D35A3" w:rsidRDefault="00000000">
      <w:r>
        <w:rPr>
          <w:b/>
          <w:color w:val="1F4E79"/>
        </w:rPr>
        <w:t xml:space="preserve">TWM </w:t>
      </w:r>
      <w:r>
        <w:rPr>
          <w:b/>
          <w:color w:val="1F4E79"/>
        </w:rPr>
        <w:t>的目标不是替代</w:t>
      </w:r>
      <w:r>
        <w:rPr>
          <w:b/>
          <w:color w:val="1F4E79"/>
        </w:rPr>
        <w:t xml:space="preserve"> GeoSOS-FLUS</w:t>
      </w:r>
      <w:r>
        <w:rPr>
          <w:b/>
          <w:color w:val="1F4E79"/>
        </w:rPr>
        <w:t>，而是面向更宽的国土空间治理任务构建</w:t>
      </w:r>
      <w:r>
        <w:rPr>
          <w:b/>
          <w:color w:val="1F4E79"/>
        </w:rPr>
        <w:t xml:space="preserve"> geospatial world model</w:t>
      </w:r>
      <w:r>
        <w:rPr>
          <w:b/>
          <w:color w:val="1F4E79"/>
        </w:rPr>
        <w:t>；</w:t>
      </w:r>
      <w:r>
        <w:rPr>
          <w:b/>
          <w:color w:val="1F4E79"/>
        </w:rPr>
        <w:t xml:space="preserve">GeoSOS-FLUS </w:t>
      </w:r>
      <w:r>
        <w:rPr>
          <w:b/>
          <w:color w:val="1F4E79"/>
        </w:rPr>
        <w:t>类型的土地利用模拟是</w:t>
      </w:r>
      <w:r>
        <w:rPr>
          <w:b/>
          <w:color w:val="1F4E79"/>
        </w:rPr>
        <w:t xml:space="preserve"> TWM </w:t>
      </w:r>
      <w:r>
        <w:rPr>
          <w:b/>
          <w:color w:val="1F4E79"/>
        </w:rPr>
        <w:t>可覆盖的一个子任务。当前实验已经证明</w:t>
      </w:r>
      <w:r>
        <w:rPr>
          <w:b/>
          <w:color w:val="1F4E79"/>
        </w:rPr>
        <w:t xml:space="preserve"> TWM </w:t>
      </w:r>
      <w:r>
        <w:rPr>
          <w:b/>
          <w:color w:val="1F4E79"/>
        </w:rPr>
        <w:t>能在</w:t>
      </w:r>
      <w:r>
        <w:rPr>
          <w:b/>
          <w:color w:val="1F4E79"/>
        </w:rPr>
        <w:t xml:space="preserve"> FLUS </w:t>
      </w:r>
      <w:r>
        <w:rPr>
          <w:b/>
          <w:color w:val="1F4E79"/>
        </w:rPr>
        <w:t>型同栅格任务上完成渲染、模拟、规划与对比评估，并在部分变化定位指标上取得进展，但不能据此宣称</w:t>
      </w:r>
      <w:r>
        <w:rPr>
          <w:b/>
          <w:color w:val="1F4E79"/>
        </w:rPr>
        <w:t xml:space="preserve"> TWM </w:t>
      </w:r>
      <w:r>
        <w:rPr>
          <w:b/>
          <w:color w:val="1F4E79"/>
        </w:rPr>
        <w:t>已经全面优于</w:t>
      </w:r>
      <w:r>
        <w:rPr>
          <w:b/>
          <w:color w:val="1F4E79"/>
        </w:rPr>
        <w:t xml:space="preserve"> GeoSOS-FLUS</w:t>
      </w:r>
      <w:r>
        <w:rPr>
          <w:b/>
          <w:color w:val="1F4E79"/>
        </w:rPr>
        <w:t>。</w:t>
      </w:r>
    </w:p>
    <w:p w14:paraId="0CE8711A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B179552" wp14:editId="52C8551D">
            <wp:extent cx="5897880" cy="3137672"/>
            <wp:effectExtent l="0" t="0" r="0" b="0"/>
            <wp:docPr id="1" name="twm_flus_positioning_bound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flus_positioning_bounda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B0DC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1  TWM </w:t>
      </w:r>
      <w:r>
        <w:rPr>
          <w:i/>
          <w:color w:val="555555"/>
          <w:sz w:val="18"/>
          <w:szCs w:val="18"/>
        </w:rPr>
        <w:t>与</w:t>
      </w:r>
      <w:r>
        <w:rPr>
          <w:i/>
          <w:color w:val="555555"/>
          <w:sz w:val="18"/>
          <w:szCs w:val="18"/>
        </w:rPr>
        <w:t xml:space="preserve"> GeoSOS-FLUS </w:t>
      </w:r>
      <w:r>
        <w:rPr>
          <w:i/>
          <w:color w:val="555555"/>
          <w:sz w:val="18"/>
          <w:szCs w:val="18"/>
        </w:rPr>
        <w:t>的任务定位关系：不是同一任务中心，但存在土地利用模拟子任务重叠。</w:t>
      </w:r>
    </w:p>
    <w:p w14:paraId="7558CD86" w14:textId="77777777" w:rsidR="007D35A3" w:rsidRDefault="00000000">
      <w:pPr>
        <w:pStyle w:val="1"/>
        <w:spacing w:after="100"/>
      </w:pPr>
      <w:r>
        <w:t>二、可以说什么，不能说什么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2500"/>
        <w:gridCol w:w="1900"/>
        <w:gridCol w:w="5200"/>
      </w:tblGrid>
      <w:tr w:rsidR="007D35A3" w14:paraId="048D5299" w14:textId="77777777">
        <w:tc>
          <w:tcPr>
            <w:tcW w:w="2500" w:type="dxa"/>
            <w:shd w:val="clear" w:color="auto" w:fill="E8EEF7"/>
          </w:tcPr>
          <w:p w14:paraId="6AD17335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表述</w:t>
            </w:r>
          </w:p>
        </w:tc>
        <w:tc>
          <w:tcPr>
            <w:tcW w:w="1900" w:type="dxa"/>
            <w:shd w:val="clear" w:color="auto" w:fill="E8EEF7"/>
          </w:tcPr>
          <w:p w14:paraId="003D96E4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是否建议使用</w:t>
            </w:r>
          </w:p>
        </w:tc>
        <w:tc>
          <w:tcPr>
            <w:tcW w:w="5200" w:type="dxa"/>
            <w:shd w:val="clear" w:color="auto" w:fill="E8EEF7"/>
          </w:tcPr>
          <w:p w14:paraId="55D26C30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依据与边界</w:t>
            </w:r>
          </w:p>
        </w:tc>
      </w:tr>
      <w:tr w:rsidR="007D35A3" w14:paraId="45D44050" w14:textId="77777777">
        <w:tc>
          <w:tcPr>
            <w:tcW w:w="2500" w:type="dxa"/>
          </w:tcPr>
          <w:p w14:paraId="3CA65B5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不是为了单纯对标</w:t>
            </w:r>
            <w:r>
              <w:rPr>
                <w:sz w:val="18"/>
                <w:szCs w:val="18"/>
              </w:rPr>
              <w:t xml:space="preserve"> FLUS</w:t>
            </w:r>
          </w:p>
        </w:tc>
        <w:tc>
          <w:tcPr>
            <w:tcW w:w="1900" w:type="dxa"/>
          </w:tcPr>
          <w:p w14:paraId="550A4B4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可以</w:t>
            </w:r>
          </w:p>
        </w:tc>
        <w:tc>
          <w:tcPr>
            <w:tcW w:w="5200" w:type="dxa"/>
          </w:tcPr>
          <w:p w14:paraId="06F6D19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的核心对象是国土空间治理闭环，包括对象、关系、规则、证据、模拟、规划、审计；</w:t>
            </w:r>
            <w:r>
              <w:rPr>
                <w:sz w:val="18"/>
                <w:szCs w:val="18"/>
              </w:rPr>
              <w:t xml:space="preserve">FLUS </w:t>
            </w:r>
            <w:r>
              <w:rPr>
                <w:sz w:val="18"/>
                <w:szCs w:val="18"/>
              </w:rPr>
              <w:t>主要服务土地利用变化模拟。</w:t>
            </w:r>
          </w:p>
        </w:tc>
      </w:tr>
      <w:tr w:rsidR="007D35A3" w14:paraId="0A44BCCA" w14:textId="77777777">
        <w:tc>
          <w:tcPr>
            <w:tcW w:w="2500" w:type="dxa"/>
          </w:tcPr>
          <w:p w14:paraId="7AB4137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的应用场景大于</w:t>
            </w:r>
            <w:r>
              <w:rPr>
                <w:sz w:val="18"/>
                <w:szCs w:val="18"/>
              </w:rPr>
              <w:t xml:space="preserve"> FLUS</w:t>
            </w:r>
          </w:p>
        </w:tc>
        <w:tc>
          <w:tcPr>
            <w:tcW w:w="1900" w:type="dxa"/>
          </w:tcPr>
          <w:p w14:paraId="695B338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可以，但要解释为</w:t>
            </w:r>
            <w:r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任务范围更宽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5200" w:type="dxa"/>
          </w:tcPr>
          <w:p w14:paraId="6AD50C46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这是架构和业务范围判断，不等于当前所有指标全面优于</w:t>
            </w:r>
            <w:r>
              <w:rPr>
                <w:sz w:val="18"/>
                <w:szCs w:val="18"/>
              </w:rPr>
              <w:t xml:space="preserve"> FLUS</w:t>
            </w:r>
            <w:r>
              <w:rPr>
                <w:sz w:val="18"/>
                <w:szCs w:val="18"/>
              </w:rPr>
              <w:t>。</w:t>
            </w:r>
          </w:p>
        </w:tc>
      </w:tr>
      <w:tr w:rsidR="007D35A3" w14:paraId="737644F7" w14:textId="77777777">
        <w:tc>
          <w:tcPr>
            <w:tcW w:w="2500" w:type="dxa"/>
          </w:tcPr>
          <w:p w14:paraId="0A0B3F51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架构可覆盖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类型的土地利用模拟子任务</w:t>
            </w:r>
          </w:p>
        </w:tc>
        <w:tc>
          <w:tcPr>
            <w:tcW w:w="1900" w:type="dxa"/>
          </w:tcPr>
          <w:p w14:paraId="6C88C72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可以</w:t>
            </w:r>
          </w:p>
        </w:tc>
        <w:tc>
          <w:tcPr>
            <w:tcW w:w="5200" w:type="dxa"/>
          </w:tcPr>
          <w:p w14:paraId="564D6DB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V2.4 </w:t>
            </w:r>
            <w:r>
              <w:rPr>
                <w:sz w:val="18"/>
                <w:szCs w:val="18"/>
              </w:rPr>
              <w:t>官方样例和</w:t>
            </w:r>
            <w:r>
              <w:rPr>
                <w:sz w:val="18"/>
                <w:szCs w:val="18"/>
              </w:rPr>
              <w:t xml:space="preserve"> Dynamic World admin20 </w:t>
            </w:r>
            <w:r>
              <w:rPr>
                <w:sz w:val="18"/>
                <w:szCs w:val="18"/>
              </w:rPr>
              <w:t>已验证同栅格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多区域模拟能力。</w:t>
            </w:r>
          </w:p>
        </w:tc>
      </w:tr>
      <w:tr w:rsidR="007D35A3" w14:paraId="25359284" w14:textId="77777777">
        <w:tc>
          <w:tcPr>
            <w:tcW w:w="2500" w:type="dxa"/>
          </w:tcPr>
          <w:p w14:paraId="1B40A8E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已经全面超过</w:t>
            </w:r>
            <w:r>
              <w:rPr>
                <w:sz w:val="18"/>
                <w:szCs w:val="18"/>
              </w:rPr>
              <w:t xml:space="preserve"> GeoSOS-FLUS</w:t>
            </w:r>
          </w:p>
        </w:tc>
        <w:tc>
          <w:tcPr>
            <w:tcW w:w="1900" w:type="dxa"/>
          </w:tcPr>
          <w:p w14:paraId="1A9B577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不能</w:t>
            </w:r>
          </w:p>
        </w:tc>
        <w:tc>
          <w:tcPr>
            <w:tcW w:w="5200" w:type="dxa"/>
          </w:tcPr>
          <w:p w14:paraId="54784681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当前</w:t>
            </w:r>
            <w:r>
              <w:rPr>
                <w:sz w:val="18"/>
                <w:szCs w:val="18"/>
              </w:rPr>
              <w:t xml:space="preserve"> V2.4 </w:t>
            </w:r>
            <w:r>
              <w:rPr>
                <w:sz w:val="18"/>
                <w:szCs w:val="18"/>
              </w:rPr>
              <w:t>样例中独立</w:t>
            </w:r>
            <w:r>
              <w:rPr>
                <w:sz w:val="18"/>
                <w:szCs w:val="18"/>
              </w:rPr>
              <w:t xml:space="preserve"> TWM </w:t>
            </w:r>
            <w:r>
              <w:rPr>
                <w:sz w:val="18"/>
                <w:szCs w:val="18"/>
              </w:rPr>
              <w:t>候选</w:t>
            </w:r>
            <w:r>
              <w:rPr>
                <w:sz w:val="18"/>
                <w:szCs w:val="18"/>
              </w:rPr>
              <w:t xml:space="preserve"> Change </w:t>
            </w:r>
            <w:proofErr w:type="spellStart"/>
            <w:r>
              <w:rPr>
                <w:sz w:val="18"/>
                <w:szCs w:val="18"/>
              </w:rPr>
              <w:t>FoM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超过官方</w:t>
            </w:r>
            <w:r>
              <w:rPr>
                <w:sz w:val="18"/>
                <w:szCs w:val="18"/>
              </w:rPr>
              <w:t xml:space="preserve"> FLUS</w:t>
            </w:r>
            <w:r>
              <w:rPr>
                <w:sz w:val="18"/>
                <w:szCs w:val="18"/>
              </w:rPr>
              <w:t>，但</w:t>
            </w:r>
            <w:r>
              <w:rPr>
                <w:sz w:val="18"/>
                <w:szCs w:val="18"/>
              </w:rPr>
              <w:t xml:space="preserve"> OA/Kappa </w:t>
            </w:r>
            <w:r>
              <w:rPr>
                <w:sz w:val="18"/>
                <w:szCs w:val="18"/>
              </w:rPr>
              <w:t>仍略低，且仅为样例级验证。</w:t>
            </w:r>
          </w:p>
        </w:tc>
      </w:tr>
      <w:tr w:rsidR="007D35A3" w14:paraId="5E333F77" w14:textId="77777777">
        <w:tc>
          <w:tcPr>
            <w:tcW w:w="2500" w:type="dxa"/>
          </w:tcPr>
          <w:p w14:paraId="134288A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可以替代</w:t>
            </w:r>
            <w:r>
              <w:rPr>
                <w:sz w:val="18"/>
                <w:szCs w:val="18"/>
              </w:rPr>
              <w:t xml:space="preserve"> GeoSOS-FLUS</w:t>
            </w:r>
          </w:p>
        </w:tc>
        <w:tc>
          <w:tcPr>
            <w:tcW w:w="1900" w:type="dxa"/>
          </w:tcPr>
          <w:p w14:paraId="7A813912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暂不建议</w:t>
            </w:r>
          </w:p>
        </w:tc>
        <w:tc>
          <w:tcPr>
            <w:tcW w:w="5200" w:type="dxa"/>
          </w:tcPr>
          <w:p w14:paraId="4A774F8A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可作为研发目标或局部场景方案，但需要多城市、多时期、直接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复现实验和业务数据验证。</w:t>
            </w:r>
          </w:p>
        </w:tc>
      </w:tr>
    </w:tbl>
    <w:p w14:paraId="6F16AC5E" w14:textId="77777777" w:rsidR="007D35A3" w:rsidRDefault="007D35A3">
      <w:pPr>
        <w:spacing w:after="80"/>
      </w:pPr>
    </w:p>
    <w:p w14:paraId="53DF80D1" w14:textId="77777777" w:rsidR="007D35A3" w:rsidRDefault="00000000">
      <w:pPr>
        <w:pStyle w:val="1"/>
        <w:spacing w:after="100"/>
      </w:pPr>
      <w:r>
        <w:lastRenderedPageBreak/>
        <w:t>三、对比背景</w:t>
      </w:r>
    </w:p>
    <w:p w14:paraId="405DB6B4" w14:textId="77777777" w:rsidR="007D35A3" w:rsidRDefault="00000000">
      <w:pPr>
        <w:pStyle w:val="2"/>
      </w:pPr>
      <w:r>
        <w:t xml:space="preserve">3.1 GeoSOS-FLUS </w:t>
      </w:r>
      <w:r>
        <w:t>解决的问题</w:t>
      </w:r>
    </w:p>
    <w:p w14:paraId="6636FCFE" w14:textId="77777777" w:rsidR="007D35A3" w:rsidRDefault="00000000">
      <w:r>
        <w:t xml:space="preserve">GeoSOS-FLUS </w:t>
      </w:r>
      <w:r>
        <w:t>主要面向多地类土地利用变化模拟。典型工作流是：基于驱动因子学习或给定各地类适宜性，再在元胞自动机、邻域效应、转移约束和未来需求量约束下，生成未来土地利用格局。它适合做情景模拟、城市扩张、土地利用变化分析。</w:t>
      </w:r>
    </w:p>
    <w:p w14:paraId="669481CD" w14:textId="77777777" w:rsidR="007D35A3" w:rsidRDefault="00000000">
      <w:pPr>
        <w:pStyle w:val="2"/>
      </w:pPr>
      <w:r>
        <w:t xml:space="preserve">3.2 TWM </w:t>
      </w:r>
      <w:r>
        <w:t>解决的问题</w:t>
      </w:r>
    </w:p>
    <w:p w14:paraId="6A447408" w14:textId="77777777" w:rsidR="007D35A3" w:rsidRDefault="00000000">
      <w:r>
        <w:t xml:space="preserve">TWM </w:t>
      </w:r>
      <w:r>
        <w:t>的目标更宽：它面向国土空间治理中的状态表达、证据组织、规则约束、行动条件模拟、方案规划、人工复核与审计闭环。土地利用模拟只是其中的</w:t>
      </w:r>
      <w:r>
        <w:t xml:space="preserve"> simulator </w:t>
      </w:r>
      <w:r>
        <w:t>子任务之一。</w:t>
      </w:r>
    </w:p>
    <w:p w14:paraId="5F243996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A7609C8" wp14:editId="4D622C1A">
            <wp:extent cx="5897880" cy="3761915"/>
            <wp:effectExtent l="0" t="0" r="0" b="0"/>
            <wp:docPr id="2" name="twm_architecture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architecture_over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11CD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2  TWM </w:t>
      </w:r>
      <w:r>
        <w:rPr>
          <w:i/>
          <w:color w:val="555555"/>
          <w:sz w:val="18"/>
          <w:szCs w:val="18"/>
        </w:rPr>
        <w:t>架构概览：对象</w:t>
      </w:r>
      <w:r>
        <w:rPr>
          <w:i/>
          <w:color w:val="555555"/>
          <w:sz w:val="18"/>
          <w:szCs w:val="18"/>
        </w:rPr>
        <w:t>-</w:t>
      </w:r>
      <w:r>
        <w:rPr>
          <w:i/>
          <w:color w:val="555555"/>
          <w:sz w:val="18"/>
          <w:szCs w:val="18"/>
        </w:rPr>
        <w:t>关系</w:t>
      </w:r>
      <w:r>
        <w:rPr>
          <w:i/>
          <w:color w:val="555555"/>
          <w:sz w:val="18"/>
          <w:szCs w:val="18"/>
        </w:rPr>
        <w:t>-</w:t>
      </w:r>
      <w:r>
        <w:rPr>
          <w:i/>
          <w:color w:val="555555"/>
          <w:sz w:val="18"/>
          <w:szCs w:val="18"/>
        </w:rPr>
        <w:t>规则</w:t>
      </w:r>
      <w:r>
        <w:rPr>
          <w:i/>
          <w:color w:val="555555"/>
          <w:sz w:val="18"/>
          <w:szCs w:val="18"/>
        </w:rPr>
        <w:t>-</w:t>
      </w:r>
      <w:r>
        <w:rPr>
          <w:i/>
          <w:color w:val="555555"/>
          <w:sz w:val="18"/>
          <w:szCs w:val="18"/>
        </w:rPr>
        <w:t>证据状态、模拟器、规划器与审计闭环。</w:t>
      </w:r>
    </w:p>
    <w:p w14:paraId="2F31A4F0" w14:textId="77777777" w:rsidR="007D35A3" w:rsidRDefault="00000000">
      <w:pPr>
        <w:pStyle w:val="1"/>
        <w:spacing w:after="100"/>
      </w:pPr>
      <w:r>
        <w:t>四、数据基础与实验口径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1959"/>
        <w:gridCol w:w="2107"/>
        <w:gridCol w:w="3880"/>
        <w:gridCol w:w="2340"/>
      </w:tblGrid>
      <w:tr w:rsidR="007D35A3" w14:paraId="62ACD300" w14:textId="77777777">
        <w:tc>
          <w:tcPr>
            <w:tcW w:w="2100" w:type="dxa"/>
            <w:shd w:val="clear" w:color="auto" w:fill="E8EEF7"/>
          </w:tcPr>
          <w:p w14:paraId="1E915F42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数据集</w:t>
            </w:r>
          </w:p>
        </w:tc>
        <w:tc>
          <w:tcPr>
            <w:tcW w:w="2300" w:type="dxa"/>
            <w:shd w:val="clear" w:color="auto" w:fill="E8EEF7"/>
          </w:tcPr>
          <w:p w14:paraId="4A00392C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用途</w:t>
            </w:r>
          </w:p>
        </w:tc>
        <w:tc>
          <w:tcPr>
            <w:tcW w:w="4200" w:type="dxa"/>
            <w:shd w:val="clear" w:color="auto" w:fill="E8EEF7"/>
          </w:tcPr>
          <w:p w14:paraId="059E30CB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核心内容</w:t>
            </w:r>
          </w:p>
        </w:tc>
        <w:tc>
          <w:tcPr>
            <w:tcW w:w="2600" w:type="dxa"/>
            <w:shd w:val="clear" w:color="auto" w:fill="E8EEF7"/>
          </w:tcPr>
          <w:p w14:paraId="20C28D20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当前结论边界</w:t>
            </w:r>
          </w:p>
        </w:tc>
      </w:tr>
      <w:tr w:rsidR="007D35A3" w14:paraId="5189507D" w14:textId="77777777">
        <w:tc>
          <w:tcPr>
            <w:tcW w:w="2100" w:type="dxa"/>
          </w:tcPr>
          <w:p w14:paraId="1B2780B1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GeoSOS-FLUS V2.4 </w:t>
            </w:r>
            <w:r>
              <w:rPr>
                <w:sz w:val="18"/>
                <w:szCs w:val="18"/>
              </w:rPr>
              <w:t>官方样例</w:t>
            </w:r>
          </w:p>
        </w:tc>
        <w:tc>
          <w:tcPr>
            <w:tcW w:w="2300" w:type="dxa"/>
          </w:tcPr>
          <w:p w14:paraId="5580CA0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正式同栅格</w:t>
            </w:r>
            <w:r>
              <w:rPr>
                <w:sz w:val="18"/>
                <w:szCs w:val="18"/>
              </w:rPr>
              <w:t xml:space="preserve"> FLUS baseline </w:t>
            </w:r>
            <w:r>
              <w:rPr>
                <w:sz w:val="18"/>
                <w:szCs w:val="18"/>
              </w:rPr>
              <w:t>对比</w:t>
            </w:r>
          </w:p>
        </w:tc>
        <w:tc>
          <w:tcPr>
            <w:tcW w:w="4200" w:type="dxa"/>
          </w:tcPr>
          <w:p w14:paraId="48D39CE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2001 </w:t>
            </w:r>
            <w:r>
              <w:rPr>
                <w:sz w:val="18"/>
                <w:szCs w:val="18"/>
              </w:rPr>
              <w:t>起始图、</w:t>
            </w:r>
            <w:r>
              <w:rPr>
                <w:sz w:val="18"/>
                <w:szCs w:val="18"/>
              </w:rPr>
              <w:t xml:space="preserve">2006 </w:t>
            </w:r>
            <w:r>
              <w:rPr>
                <w:sz w:val="18"/>
                <w:szCs w:val="18"/>
              </w:rPr>
              <w:t>真值图、</w:t>
            </w:r>
            <w:r>
              <w:rPr>
                <w:sz w:val="18"/>
                <w:szCs w:val="18"/>
              </w:rPr>
              <w:t xml:space="preserve">FLUS </w:t>
            </w:r>
            <w:r>
              <w:rPr>
                <w:sz w:val="18"/>
                <w:szCs w:val="18"/>
              </w:rPr>
              <w:t>官方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simulationResult</w:t>
            </w:r>
            <w:proofErr w:type="spellEnd"/>
            <w:r>
              <w:rPr>
                <w:sz w:val="18"/>
                <w:szCs w:val="18"/>
              </w:rPr>
              <w:t xml:space="preserve"> / simulationResult1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Probability-of-occurrence</w:t>
            </w:r>
            <w:r>
              <w:rPr>
                <w:sz w:val="18"/>
                <w:szCs w:val="18"/>
              </w:rPr>
              <w:t>、限制区、驱动因子；</w:t>
            </w:r>
            <w:r>
              <w:rPr>
                <w:sz w:val="18"/>
                <w:szCs w:val="18"/>
              </w:rPr>
              <w:t>531×768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100 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248,920 </w:t>
            </w:r>
            <w:r>
              <w:rPr>
                <w:sz w:val="18"/>
                <w:szCs w:val="18"/>
              </w:rPr>
              <w:t>个有效像元。</w:t>
            </w:r>
          </w:p>
        </w:tc>
        <w:tc>
          <w:tcPr>
            <w:tcW w:w="2600" w:type="dxa"/>
          </w:tcPr>
          <w:p w14:paraId="7937176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可支撑官方样例级对比；不是生产治理数据，也不是多城市泛化证据。</w:t>
            </w:r>
          </w:p>
        </w:tc>
      </w:tr>
      <w:tr w:rsidR="007D35A3" w14:paraId="2D4E2413" w14:textId="77777777">
        <w:tc>
          <w:tcPr>
            <w:tcW w:w="2100" w:type="dxa"/>
          </w:tcPr>
          <w:p w14:paraId="1BE19A50" w14:textId="77777777" w:rsidR="007D35A3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GeoSOS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DongGuan</w:t>
            </w:r>
            <w:proofErr w:type="spellEnd"/>
            <w:r>
              <w:rPr>
                <w:sz w:val="18"/>
                <w:szCs w:val="18"/>
              </w:rPr>
              <w:t xml:space="preserve"> 80m </w:t>
            </w:r>
            <w:r>
              <w:rPr>
                <w:sz w:val="18"/>
                <w:szCs w:val="18"/>
              </w:rPr>
              <w:t>教程数据</w:t>
            </w:r>
          </w:p>
        </w:tc>
        <w:tc>
          <w:tcPr>
            <w:tcW w:w="2300" w:type="dxa"/>
          </w:tcPr>
          <w:p w14:paraId="38E9ACC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数据接入、渲染器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模拟器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规划器连续性验证</w:t>
            </w:r>
          </w:p>
        </w:tc>
        <w:tc>
          <w:tcPr>
            <w:tcW w:w="4200" w:type="dxa"/>
          </w:tcPr>
          <w:p w14:paraId="7797281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2000/2005/2006 </w:t>
            </w:r>
            <w:r>
              <w:rPr>
                <w:sz w:val="18"/>
                <w:szCs w:val="18"/>
              </w:rPr>
              <w:t>三期土地利用、</w:t>
            </w:r>
            <w:r>
              <w:rPr>
                <w:sz w:val="18"/>
                <w:szCs w:val="18"/>
              </w:rPr>
              <w:t xml:space="preserve">80 m </w:t>
            </w:r>
            <w:r>
              <w:rPr>
                <w:sz w:val="18"/>
                <w:szCs w:val="18"/>
              </w:rPr>
              <w:t>栅格、</w:t>
            </w:r>
            <w:r>
              <w:rPr>
                <w:sz w:val="18"/>
                <w:szCs w:val="18"/>
              </w:rPr>
              <w:t xml:space="preserve">6 </w:t>
            </w:r>
            <w:r>
              <w:rPr>
                <w:sz w:val="18"/>
                <w:szCs w:val="18"/>
              </w:rPr>
              <w:t>类地类、道路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城市距离等驱动因子。</w:t>
            </w:r>
          </w:p>
        </w:tc>
        <w:tc>
          <w:tcPr>
            <w:tcW w:w="2600" w:type="dxa"/>
          </w:tcPr>
          <w:p w14:paraId="7CE9B83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缺少官方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输出图，因此不能作为官方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胜负结论。</w:t>
            </w:r>
          </w:p>
        </w:tc>
      </w:tr>
      <w:tr w:rsidR="007D35A3" w14:paraId="22703EE3" w14:textId="77777777">
        <w:tc>
          <w:tcPr>
            <w:tcW w:w="2100" w:type="dxa"/>
          </w:tcPr>
          <w:p w14:paraId="29CAC8F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Dynamic World admin20 </w:t>
            </w:r>
            <w:r>
              <w:rPr>
                <w:sz w:val="18"/>
                <w:szCs w:val="18"/>
              </w:rPr>
              <w:t>公开多区域</w:t>
            </w:r>
            <w:r>
              <w:rPr>
                <w:sz w:val="18"/>
                <w:szCs w:val="18"/>
              </w:rPr>
              <w:lastRenderedPageBreak/>
              <w:t>数据</w:t>
            </w:r>
          </w:p>
        </w:tc>
        <w:tc>
          <w:tcPr>
            <w:tcW w:w="2300" w:type="dxa"/>
          </w:tcPr>
          <w:p w14:paraId="638D74D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多区域、多时期公开验证</w:t>
            </w:r>
          </w:p>
        </w:tc>
        <w:tc>
          <w:tcPr>
            <w:tcW w:w="4200" w:type="dxa"/>
          </w:tcPr>
          <w:p w14:paraId="44C746C6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GEE Dynamic World 2017-2023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20 </w:t>
            </w:r>
            <w:r>
              <w:rPr>
                <w:sz w:val="18"/>
                <w:szCs w:val="18"/>
              </w:rPr>
              <w:t>个乡镇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街道，</w:t>
            </w:r>
            <w:r>
              <w:rPr>
                <w:sz w:val="18"/>
                <w:szCs w:val="18"/>
              </w:rPr>
              <w:t xml:space="preserve">100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rolling cases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140 </w:t>
            </w:r>
            <w:r>
              <w:rPr>
                <w:sz w:val="18"/>
                <w:szCs w:val="18"/>
              </w:rPr>
              <w:t>幅土地覆盖</w:t>
            </w:r>
            <w:r>
              <w:rPr>
                <w:sz w:val="18"/>
                <w:szCs w:val="18"/>
              </w:rPr>
              <w:lastRenderedPageBreak/>
              <w:t>栅格，</w:t>
            </w:r>
            <w:r>
              <w:rPr>
                <w:sz w:val="18"/>
                <w:szCs w:val="18"/>
              </w:rPr>
              <w:t xml:space="preserve">60 </w:t>
            </w:r>
            <w:r>
              <w:rPr>
                <w:sz w:val="18"/>
                <w:szCs w:val="18"/>
              </w:rPr>
              <w:t>幅驱动栅格。</w:t>
            </w:r>
          </w:p>
        </w:tc>
        <w:tc>
          <w:tcPr>
            <w:tcW w:w="2600" w:type="dxa"/>
          </w:tcPr>
          <w:p w14:paraId="2BF2F36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可支撑公开工程验证和研究假设，不等同生产落地。</w:t>
            </w:r>
          </w:p>
        </w:tc>
      </w:tr>
    </w:tbl>
    <w:p w14:paraId="47295219" w14:textId="77777777" w:rsidR="007D35A3" w:rsidRDefault="007D35A3">
      <w:pPr>
        <w:spacing w:after="80"/>
      </w:pPr>
    </w:p>
    <w:p w14:paraId="173F5570" w14:textId="77777777" w:rsidR="007D35A3" w:rsidRDefault="00000000">
      <w:pPr>
        <w:pStyle w:val="1"/>
        <w:spacing w:after="100"/>
      </w:pPr>
      <w:r>
        <w:t>五、</w:t>
      </w:r>
      <w:r>
        <w:t xml:space="preserve">GeoSOS-FLUS V2.4 </w:t>
      </w:r>
      <w:r>
        <w:t>官方样例：同案结果</w:t>
      </w:r>
    </w:p>
    <w:p w14:paraId="73BD60AF" w14:textId="77777777" w:rsidR="007D35A3" w:rsidRDefault="00000000">
      <w:r>
        <w:t>该实验把</w:t>
      </w:r>
      <w:r>
        <w:t xml:space="preserve"> V2.4 </w:t>
      </w:r>
      <w:r>
        <w:t>官方样例接入</w:t>
      </w:r>
      <w:r>
        <w:t xml:space="preserve"> TWM</w:t>
      </w:r>
      <w:r>
        <w:t>，官方</w:t>
      </w:r>
      <w:r>
        <w:t xml:space="preserve"> FLUS </w:t>
      </w:r>
      <w:r>
        <w:t>输出保留为</w:t>
      </w:r>
      <w:r>
        <w:t xml:space="preserve"> baseline </w:t>
      </w:r>
      <w:r>
        <w:t>行，</w:t>
      </w:r>
      <w:r>
        <w:t xml:space="preserve">TWM </w:t>
      </w:r>
      <w:r>
        <w:t>候选在同一</w:t>
      </w:r>
      <w:r>
        <w:t xml:space="preserve"> 531×768</w:t>
      </w:r>
      <w:r>
        <w:t>、</w:t>
      </w:r>
      <w:r>
        <w:t xml:space="preserve">100 m </w:t>
      </w:r>
      <w:r>
        <w:t>栅格、同一</w:t>
      </w:r>
      <w:r>
        <w:t xml:space="preserve"> future-pixel </w:t>
      </w:r>
      <w:r>
        <w:t>需求量、同一</w:t>
      </w:r>
      <w:r>
        <w:t xml:space="preserve"> 2006 </w:t>
      </w:r>
      <w:r>
        <w:t>真值下生成模拟图并计算指标。</w:t>
      </w:r>
    </w:p>
    <w:p w14:paraId="4332FFDA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A42B13E" wp14:editId="7B968285">
            <wp:extent cx="5897880" cy="2697786"/>
            <wp:effectExtent l="0" t="0" r="0" b="0"/>
            <wp:docPr id="3" name="twm_flus_v24_key_metric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flus_v24_key_metric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25CA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3  FLUS V2.4 </w:t>
      </w:r>
      <w:r>
        <w:rPr>
          <w:i/>
          <w:color w:val="555555"/>
          <w:sz w:val="18"/>
          <w:szCs w:val="18"/>
        </w:rPr>
        <w:t>官方样例关键指标对比。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2245"/>
        <w:gridCol w:w="1327"/>
        <w:gridCol w:w="1034"/>
        <w:gridCol w:w="1034"/>
        <w:gridCol w:w="1164"/>
        <w:gridCol w:w="1099"/>
        <w:gridCol w:w="2383"/>
      </w:tblGrid>
      <w:tr w:rsidR="007D35A3" w14:paraId="36779C27" w14:textId="77777777">
        <w:tc>
          <w:tcPr>
            <w:tcW w:w="2600" w:type="dxa"/>
            <w:shd w:val="clear" w:color="auto" w:fill="E8EEF7"/>
          </w:tcPr>
          <w:p w14:paraId="664C76D2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候选</w:t>
            </w:r>
          </w:p>
        </w:tc>
        <w:tc>
          <w:tcPr>
            <w:tcW w:w="1700" w:type="dxa"/>
            <w:shd w:val="clear" w:color="auto" w:fill="E8EEF7"/>
          </w:tcPr>
          <w:p w14:paraId="1E773839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是否独立于</w:t>
            </w:r>
            <w:r>
              <w:rPr>
                <w:b/>
                <w:sz w:val="18"/>
                <w:szCs w:val="18"/>
              </w:rPr>
              <w:t xml:space="preserve"> FLUS </w:t>
            </w:r>
            <w:r>
              <w:rPr>
                <w:b/>
                <w:sz w:val="18"/>
                <w:szCs w:val="18"/>
              </w:rPr>
              <w:t>概率图</w:t>
            </w:r>
          </w:p>
        </w:tc>
        <w:tc>
          <w:tcPr>
            <w:tcW w:w="1100" w:type="dxa"/>
            <w:shd w:val="clear" w:color="auto" w:fill="E8EEF7"/>
          </w:tcPr>
          <w:p w14:paraId="5EB4A5B1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OA</w:t>
            </w:r>
          </w:p>
        </w:tc>
        <w:tc>
          <w:tcPr>
            <w:tcW w:w="1100" w:type="dxa"/>
            <w:shd w:val="clear" w:color="auto" w:fill="E8EEF7"/>
          </w:tcPr>
          <w:p w14:paraId="53455FFA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Kappa</w:t>
            </w:r>
          </w:p>
        </w:tc>
        <w:tc>
          <w:tcPr>
            <w:tcW w:w="1300" w:type="dxa"/>
            <w:shd w:val="clear" w:color="auto" w:fill="E8EEF7"/>
          </w:tcPr>
          <w:p w14:paraId="277FCA25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Change </w:t>
            </w:r>
            <w:proofErr w:type="spellStart"/>
            <w:r>
              <w:rPr>
                <w:b/>
                <w:sz w:val="18"/>
                <w:szCs w:val="18"/>
              </w:rPr>
              <w:t>FoM</w:t>
            </w:r>
            <w:proofErr w:type="spellEnd"/>
          </w:p>
        </w:tc>
        <w:tc>
          <w:tcPr>
            <w:tcW w:w="1200" w:type="dxa"/>
            <w:shd w:val="clear" w:color="auto" w:fill="E8EEF7"/>
          </w:tcPr>
          <w:p w14:paraId="6C7ABC7D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Change F1</w:t>
            </w:r>
          </w:p>
        </w:tc>
        <w:tc>
          <w:tcPr>
            <w:tcW w:w="3000" w:type="dxa"/>
            <w:shd w:val="clear" w:color="auto" w:fill="E8EEF7"/>
          </w:tcPr>
          <w:p w14:paraId="3B9DF974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说明</w:t>
            </w:r>
          </w:p>
        </w:tc>
      </w:tr>
      <w:tr w:rsidR="007D35A3" w14:paraId="27529EB0" w14:textId="77777777">
        <w:tc>
          <w:tcPr>
            <w:tcW w:w="2600" w:type="dxa"/>
          </w:tcPr>
          <w:p w14:paraId="25AE42C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Official FLUS </w:t>
            </w:r>
            <w:proofErr w:type="spellStart"/>
            <w:r>
              <w:rPr>
                <w:sz w:val="18"/>
                <w:szCs w:val="18"/>
              </w:rPr>
              <w:t>simulationResult</w:t>
            </w:r>
            <w:proofErr w:type="spellEnd"/>
          </w:p>
        </w:tc>
        <w:tc>
          <w:tcPr>
            <w:tcW w:w="1700" w:type="dxa"/>
          </w:tcPr>
          <w:p w14:paraId="2945D35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基线</w:t>
            </w:r>
          </w:p>
        </w:tc>
        <w:tc>
          <w:tcPr>
            <w:tcW w:w="1100" w:type="dxa"/>
          </w:tcPr>
          <w:p w14:paraId="76C9B021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0.602491</w:t>
            </w:r>
          </w:p>
        </w:tc>
        <w:tc>
          <w:tcPr>
            <w:tcW w:w="1100" w:type="dxa"/>
          </w:tcPr>
          <w:p w14:paraId="3276E80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0.487845</w:t>
            </w:r>
          </w:p>
        </w:tc>
        <w:tc>
          <w:tcPr>
            <w:tcW w:w="1300" w:type="dxa"/>
          </w:tcPr>
          <w:p w14:paraId="16B0797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0.290021</w:t>
            </w:r>
          </w:p>
        </w:tc>
        <w:tc>
          <w:tcPr>
            <w:tcW w:w="1200" w:type="dxa"/>
          </w:tcPr>
          <w:p w14:paraId="0B3075B1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0.449637</w:t>
            </w:r>
          </w:p>
        </w:tc>
        <w:tc>
          <w:tcPr>
            <w:tcW w:w="3000" w:type="dxa"/>
          </w:tcPr>
          <w:p w14:paraId="5D1FC84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官方包内输出</w:t>
            </w:r>
          </w:p>
        </w:tc>
      </w:tr>
      <w:tr w:rsidR="007D35A3" w14:paraId="1EDB756C" w14:textId="77777777">
        <w:tc>
          <w:tcPr>
            <w:tcW w:w="2600" w:type="dxa"/>
          </w:tcPr>
          <w:p w14:paraId="279E9271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Official FLUS simulationResult1</w:t>
            </w:r>
          </w:p>
        </w:tc>
        <w:tc>
          <w:tcPr>
            <w:tcW w:w="1700" w:type="dxa"/>
          </w:tcPr>
          <w:p w14:paraId="0964BDF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基线</w:t>
            </w:r>
          </w:p>
        </w:tc>
        <w:tc>
          <w:tcPr>
            <w:tcW w:w="1100" w:type="dxa"/>
          </w:tcPr>
          <w:p w14:paraId="78D94A9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0.601659</w:t>
            </w:r>
          </w:p>
        </w:tc>
        <w:tc>
          <w:tcPr>
            <w:tcW w:w="1100" w:type="dxa"/>
          </w:tcPr>
          <w:p w14:paraId="430F0E6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0.486773</w:t>
            </w:r>
          </w:p>
        </w:tc>
        <w:tc>
          <w:tcPr>
            <w:tcW w:w="1300" w:type="dxa"/>
          </w:tcPr>
          <w:p w14:paraId="33A8117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0.292161</w:t>
            </w:r>
          </w:p>
        </w:tc>
        <w:tc>
          <w:tcPr>
            <w:tcW w:w="1200" w:type="dxa"/>
          </w:tcPr>
          <w:p w14:paraId="51B37EE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0.452205</w:t>
            </w:r>
          </w:p>
        </w:tc>
        <w:tc>
          <w:tcPr>
            <w:tcW w:w="3000" w:type="dxa"/>
          </w:tcPr>
          <w:p w14:paraId="6E17B72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官方包内输出，</w:t>
            </w:r>
            <w:r>
              <w:rPr>
                <w:sz w:val="18"/>
                <w:szCs w:val="18"/>
              </w:rPr>
              <w:t xml:space="preserve">Change </w:t>
            </w:r>
            <w:proofErr w:type="spellStart"/>
            <w:r>
              <w:rPr>
                <w:sz w:val="18"/>
                <w:szCs w:val="18"/>
              </w:rPr>
              <w:t>FoM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略高</w:t>
            </w:r>
          </w:p>
        </w:tc>
      </w:tr>
      <w:tr w:rsidR="007D35A3" w14:paraId="6D6F2690" w14:textId="77777777">
        <w:tc>
          <w:tcPr>
            <w:tcW w:w="2600" w:type="dxa"/>
          </w:tcPr>
          <w:p w14:paraId="6434609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TWM independent logit quota balanced</w:t>
            </w:r>
          </w:p>
        </w:tc>
        <w:tc>
          <w:tcPr>
            <w:tcW w:w="1700" w:type="dxa"/>
          </w:tcPr>
          <w:p w14:paraId="4869543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100" w:type="dxa"/>
          </w:tcPr>
          <w:p w14:paraId="0BD0D55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0.597714</w:t>
            </w:r>
          </w:p>
        </w:tc>
        <w:tc>
          <w:tcPr>
            <w:tcW w:w="1100" w:type="dxa"/>
          </w:tcPr>
          <w:p w14:paraId="659635A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0.481691</w:t>
            </w:r>
          </w:p>
        </w:tc>
        <w:tc>
          <w:tcPr>
            <w:tcW w:w="1300" w:type="dxa"/>
          </w:tcPr>
          <w:p w14:paraId="4E949AC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0.279552</w:t>
            </w:r>
          </w:p>
        </w:tc>
        <w:tc>
          <w:tcPr>
            <w:tcW w:w="1200" w:type="dxa"/>
          </w:tcPr>
          <w:p w14:paraId="3602F26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0.436953</w:t>
            </w:r>
          </w:p>
        </w:tc>
        <w:tc>
          <w:tcPr>
            <w:tcW w:w="3000" w:type="dxa"/>
          </w:tcPr>
          <w:p w14:paraId="2A1B1E8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独立</w:t>
            </w:r>
            <w:r>
              <w:rPr>
                <w:sz w:val="18"/>
                <w:szCs w:val="18"/>
              </w:rPr>
              <w:t xml:space="preserve"> suitability + exact quota</w:t>
            </w:r>
          </w:p>
        </w:tc>
      </w:tr>
      <w:tr w:rsidR="007D35A3" w14:paraId="71BE30B7" w14:textId="77777777">
        <w:tc>
          <w:tcPr>
            <w:tcW w:w="2600" w:type="dxa"/>
          </w:tcPr>
          <w:p w14:paraId="5C27566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TWM independent logit change seeking</w:t>
            </w:r>
          </w:p>
        </w:tc>
        <w:tc>
          <w:tcPr>
            <w:tcW w:w="1700" w:type="dxa"/>
          </w:tcPr>
          <w:p w14:paraId="6C2988A6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1100" w:type="dxa"/>
          </w:tcPr>
          <w:p w14:paraId="106C381A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0.593721</w:t>
            </w:r>
          </w:p>
        </w:tc>
        <w:tc>
          <w:tcPr>
            <w:tcW w:w="1100" w:type="dxa"/>
          </w:tcPr>
          <w:p w14:paraId="22B0F13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0.476546</w:t>
            </w:r>
          </w:p>
        </w:tc>
        <w:tc>
          <w:tcPr>
            <w:tcW w:w="1300" w:type="dxa"/>
          </w:tcPr>
          <w:p w14:paraId="7922DEE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0.306413</w:t>
            </w:r>
          </w:p>
        </w:tc>
        <w:tc>
          <w:tcPr>
            <w:tcW w:w="1200" w:type="dxa"/>
          </w:tcPr>
          <w:p w14:paraId="49CD99B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0.469091</w:t>
            </w:r>
          </w:p>
        </w:tc>
        <w:tc>
          <w:tcPr>
            <w:tcW w:w="3000" w:type="dxa"/>
          </w:tcPr>
          <w:p w14:paraId="6F8F911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独立</w:t>
            </w:r>
            <w:r>
              <w:rPr>
                <w:sz w:val="18"/>
                <w:szCs w:val="18"/>
              </w:rPr>
              <w:t xml:space="preserve"> suitability</w:t>
            </w:r>
            <w:r>
              <w:rPr>
                <w:sz w:val="18"/>
                <w:szCs w:val="18"/>
              </w:rPr>
              <w:t>；变化定位更强</w:t>
            </w:r>
          </w:p>
        </w:tc>
      </w:tr>
      <w:tr w:rsidR="007D35A3" w14:paraId="71229536" w14:textId="77777777">
        <w:tc>
          <w:tcPr>
            <w:tcW w:w="2600" w:type="dxa"/>
          </w:tcPr>
          <w:p w14:paraId="285FC502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TWM competitive quota balanced</w:t>
            </w:r>
          </w:p>
        </w:tc>
        <w:tc>
          <w:tcPr>
            <w:tcW w:w="1700" w:type="dxa"/>
          </w:tcPr>
          <w:p w14:paraId="7D15A02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100" w:type="dxa"/>
          </w:tcPr>
          <w:p w14:paraId="41AF2FB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0.593191</w:t>
            </w:r>
          </w:p>
        </w:tc>
        <w:tc>
          <w:tcPr>
            <w:tcW w:w="1100" w:type="dxa"/>
          </w:tcPr>
          <w:p w14:paraId="78C5ACD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0.475862</w:t>
            </w:r>
          </w:p>
        </w:tc>
        <w:tc>
          <w:tcPr>
            <w:tcW w:w="1300" w:type="dxa"/>
          </w:tcPr>
          <w:p w14:paraId="52845A2B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0.343228</w:t>
            </w:r>
          </w:p>
        </w:tc>
        <w:tc>
          <w:tcPr>
            <w:tcW w:w="1200" w:type="dxa"/>
          </w:tcPr>
          <w:p w14:paraId="3A8407F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0.511049</w:t>
            </w:r>
          </w:p>
        </w:tc>
        <w:tc>
          <w:tcPr>
            <w:tcW w:w="3000" w:type="dxa"/>
          </w:tcPr>
          <w:p w14:paraId="7631D76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使用</w:t>
            </w:r>
            <w:r>
              <w:rPr>
                <w:sz w:val="18"/>
                <w:szCs w:val="18"/>
              </w:rPr>
              <w:t xml:space="preserve"> FLUS Probability-of-occurrence</w:t>
            </w:r>
            <w:r>
              <w:rPr>
                <w:sz w:val="18"/>
                <w:szCs w:val="18"/>
              </w:rPr>
              <w:t>，属于融合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上限候选</w:t>
            </w:r>
          </w:p>
        </w:tc>
      </w:tr>
      <w:tr w:rsidR="007D35A3" w14:paraId="34A65C2C" w14:textId="77777777">
        <w:tc>
          <w:tcPr>
            <w:tcW w:w="2600" w:type="dxa"/>
          </w:tcPr>
          <w:p w14:paraId="56C33B5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competitive quota </w:t>
            </w:r>
            <w:proofErr w:type="gramStart"/>
            <w:r>
              <w:rPr>
                <w:sz w:val="18"/>
                <w:szCs w:val="18"/>
              </w:rPr>
              <w:t>change</w:t>
            </w:r>
            <w:proofErr w:type="gramEnd"/>
            <w:r>
              <w:rPr>
                <w:sz w:val="18"/>
                <w:szCs w:val="18"/>
              </w:rPr>
              <w:t xml:space="preserve"> seeking</w:t>
            </w:r>
          </w:p>
        </w:tc>
        <w:tc>
          <w:tcPr>
            <w:tcW w:w="1700" w:type="dxa"/>
          </w:tcPr>
          <w:p w14:paraId="1AC95DA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1100" w:type="dxa"/>
          </w:tcPr>
          <w:p w14:paraId="3A1A23E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0.539089</w:t>
            </w:r>
          </w:p>
        </w:tc>
        <w:tc>
          <w:tcPr>
            <w:tcW w:w="1100" w:type="dxa"/>
          </w:tcPr>
          <w:p w14:paraId="17E0787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0.406157</w:t>
            </w:r>
          </w:p>
        </w:tc>
        <w:tc>
          <w:tcPr>
            <w:tcW w:w="1300" w:type="dxa"/>
          </w:tcPr>
          <w:p w14:paraId="197B1AE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0.381297</w:t>
            </w:r>
          </w:p>
        </w:tc>
        <w:tc>
          <w:tcPr>
            <w:tcW w:w="1200" w:type="dxa"/>
          </w:tcPr>
          <w:p w14:paraId="22C3819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0.552086</w:t>
            </w:r>
          </w:p>
        </w:tc>
        <w:tc>
          <w:tcPr>
            <w:tcW w:w="3000" w:type="dxa"/>
          </w:tcPr>
          <w:p w14:paraId="414FFCE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使用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概率图；</w:t>
            </w:r>
            <w:r>
              <w:rPr>
                <w:sz w:val="18"/>
                <w:szCs w:val="18"/>
              </w:rPr>
              <w:t xml:space="preserve">Change </w:t>
            </w:r>
            <w:proofErr w:type="spellStart"/>
            <w:r>
              <w:rPr>
                <w:sz w:val="18"/>
                <w:szCs w:val="18"/>
              </w:rPr>
              <w:t>FoM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最高但</w:t>
            </w:r>
            <w:r>
              <w:rPr>
                <w:sz w:val="18"/>
                <w:szCs w:val="18"/>
              </w:rPr>
              <w:t xml:space="preserve"> OA/Kappa </w:t>
            </w:r>
            <w:r>
              <w:rPr>
                <w:sz w:val="18"/>
                <w:szCs w:val="18"/>
              </w:rPr>
              <w:t>较低</w:t>
            </w:r>
          </w:p>
        </w:tc>
      </w:tr>
    </w:tbl>
    <w:p w14:paraId="6D2AE28B" w14:textId="77777777" w:rsidR="007D35A3" w:rsidRDefault="007D35A3">
      <w:pPr>
        <w:spacing w:after="80"/>
      </w:pPr>
    </w:p>
    <w:p w14:paraId="2141D12E" w14:textId="77777777" w:rsidR="007D35A3" w:rsidRDefault="00000000">
      <w:r>
        <w:t>关键解读：</w:t>
      </w:r>
    </w:p>
    <w:p w14:paraId="75028DBA" w14:textId="77777777" w:rsidR="007D35A3" w:rsidRDefault="00000000">
      <w:pPr>
        <w:pStyle w:val="a4"/>
        <w:spacing w:after="80"/>
      </w:pPr>
      <w:r>
        <w:lastRenderedPageBreak/>
        <w:t>独立</w:t>
      </w:r>
      <w:r>
        <w:t xml:space="preserve"> TWM logit change-seeking </w:t>
      </w:r>
      <w:r>
        <w:t>候选的</w:t>
      </w:r>
      <w:r>
        <w:t xml:space="preserve"> Change </w:t>
      </w:r>
      <w:proofErr w:type="spellStart"/>
      <w:r>
        <w:t>FoM</w:t>
      </w:r>
      <w:proofErr w:type="spellEnd"/>
      <w:r>
        <w:t xml:space="preserve"> </w:t>
      </w:r>
      <w:r>
        <w:t>为</w:t>
      </w:r>
      <w:r>
        <w:t xml:space="preserve"> 0.306413</w:t>
      </w:r>
      <w:r>
        <w:t>，高于官方</w:t>
      </w:r>
      <w:r>
        <w:t xml:space="preserve"> FLUS </w:t>
      </w:r>
      <w:r>
        <w:t>样例较优输出</w:t>
      </w:r>
      <w:r>
        <w:t xml:space="preserve"> 0.292161</w:t>
      </w:r>
      <w:r>
        <w:t>；这说明</w:t>
      </w:r>
      <w:r>
        <w:t xml:space="preserve"> TWM </w:t>
      </w:r>
      <w:r>
        <w:t>在该样例的变化定位上已有进展。</w:t>
      </w:r>
    </w:p>
    <w:p w14:paraId="7E04055D" w14:textId="77777777" w:rsidR="007D35A3" w:rsidRDefault="00000000">
      <w:pPr>
        <w:pStyle w:val="a4"/>
        <w:spacing w:after="80"/>
      </w:pPr>
      <w:r>
        <w:t>同一候选的</w:t>
      </w:r>
      <w:r>
        <w:t xml:space="preserve"> OA </w:t>
      </w:r>
      <w:r>
        <w:t>为</w:t>
      </w:r>
      <w:r>
        <w:t xml:space="preserve"> 0.593721</w:t>
      </w:r>
      <w:r>
        <w:t>、</w:t>
      </w:r>
      <w:r>
        <w:t xml:space="preserve">Kappa </w:t>
      </w:r>
      <w:r>
        <w:t>为</w:t>
      </w:r>
      <w:r>
        <w:t xml:space="preserve"> 0.476546</w:t>
      </w:r>
      <w:r>
        <w:t>，仍低于官方</w:t>
      </w:r>
      <w:r>
        <w:t xml:space="preserve"> FLUS </w:t>
      </w:r>
      <w:r>
        <w:t>的</w:t>
      </w:r>
      <w:r>
        <w:t xml:space="preserve"> OA </w:t>
      </w:r>
      <w:r>
        <w:t>约</w:t>
      </w:r>
      <w:r>
        <w:t xml:space="preserve"> 0.602</w:t>
      </w:r>
      <w:r>
        <w:t>、</w:t>
      </w:r>
      <w:r>
        <w:t xml:space="preserve">Kappa </w:t>
      </w:r>
      <w:r>
        <w:t>约</w:t>
      </w:r>
      <w:r>
        <w:t xml:space="preserve"> 0.487</w:t>
      </w:r>
      <w:r>
        <w:t>；因此不能说</w:t>
      </w:r>
      <w:r>
        <w:t xml:space="preserve"> TWM </w:t>
      </w:r>
      <w:r>
        <w:t>已全面超过</w:t>
      </w:r>
      <w:r>
        <w:t xml:space="preserve"> FLUS</w:t>
      </w:r>
      <w:r>
        <w:t>。</w:t>
      </w:r>
    </w:p>
    <w:p w14:paraId="7B4EB718" w14:textId="77777777" w:rsidR="007D35A3" w:rsidRDefault="00000000">
      <w:pPr>
        <w:pStyle w:val="a4"/>
        <w:spacing w:after="80"/>
      </w:pPr>
      <w:r>
        <w:t>使用</w:t>
      </w:r>
      <w:r>
        <w:t xml:space="preserve"> FLUS </w:t>
      </w:r>
      <w:r>
        <w:t>概率图的</w:t>
      </w:r>
      <w:r>
        <w:t xml:space="preserve"> TWM </w:t>
      </w:r>
      <w:r>
        <w:t>融合候选</w:t>
      </w:r>
      <w:r>
        <w:t xml:space="preserve"> Change </w:t>
      </w:r>
      <w:proofErr w:type="spellStart"/>
      <w:r>
        <w:t>FoM</w:t>
      </w:r>
      <w:proofErr w:type="spellEnd"/>
      <w:r>
        <w:t xml:space="preserve"> </w:t>
      </w:r>
      <w:r>
        <w:t>可达</w:t>
      </w:r>
      <w:r>
        <w:t xml:space="preserve"> 0.343228 </w:t>
      </w:r>
      <w:r>
        <w:t>或</w:t>
      </w:r>
      <w:r>
        <w:t xml:space="preserve"> 0.381297</w:t>
      </w:r>
      <w:r>
        <w:t>，但它们使用了</w:t>
      </w:r>
      <w:r>
        <w:t xml:space="preserve"> FLUS </w:t>
      </w:r>
      <w:r>
        <w:t>包内</w:t>
      </w:r>
      <w:r>
        <w:t xml:space="preserve"> Probability-of-</w:t>
      </w:r>
      <w:proofErr w:type="spellStart"/>
      <w:r>
        <w:t>occurrence.tif</w:t>
      </w:r>
      <w:proofErr w:type="spellEnd"/>
      <w:r>
        <w:t>，不能作为</w:t>
      </w:r>
      <w:r>
        <w:t>“</w:t>
      </w:r>
      <w:r>
        <w:t>独立</w:t>
      </w:r>
      <w:r>
        <w:t xml:space="preserve"> TWM </w:t>
      </w:r>
      <w:r>
        <w:t>超过</w:t>
      </w:r>
      <w:r>
        <w:t xml:space="preserve"> FLUS”</w:t>
      </w:r>
      <w:r>
        <w:t>的证据。</w:t>
      </w:r>
    </w:p>
    <w:p w14:paraId="15D30CBB" w14:textId="77777777" w:rsidR="007D35A3" w:rsidRDefault="00000000">
      <w:pPr>
        <w:pStyle w:val="a4"/>
        <w:spacing w:after="80"/>
      </w:pPr>
      <w:r>
        <w:t>规划器当前选择</w:t>
      </w:r>
      <w:r>
        <w:t xml:space="preserve"> </w:t>
      </w:r>
      <w:proofErr w:type="spellStart"/>
      <w:r>
        <w:t>twm_driver_only_compact_growth</w:t>
      </w:r>
      <w:proofErr w:type="spellEnd"/>
      <w:r>
        <w:t>，是因为规划器综合需求贴合、限制区、</w:t>
      </w:r>
      <w:r>
        <w:t>cost matrix</w:t>
      </w:r>
      <w:r>
        <w:t>、紧凑性、可达性和事后诊断，而不是单纯最大化事后</w:t>
      </w:r>
      <w:r>
        <w:t xml:space="preserve"> Change </w:t>
      </w:r>
      <w:proofErr w:type="spellStart"/>
      <w:r>
        <w:t>FoM</w:t>
      </w:r>
      <w:proofErr w:type="spellEnd"/>
      <w:r>
        <w:t>。</w:t>
      </w:r>
    </w:p>
    <w:p w14:paraId="5C9C22E5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81A10D7" wp14:editId="7B04F0ED">
            <wp:extent cx="5897880" cy="1333355"/>
            <wp:effectExtent l="0" t="0" r="0" b="0"/>
            <wp:docPr id="4" name="twm_flus_v24_simopt_prediction_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flus_v24_simopt_prediction_ma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9789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4  FLUS V2.4 </w:t>
      </w:r>
      <w:r>
        <w:rPr>
          <w:i/>
          <w:color w:val="555555"/>
          <w:sz w:val="18"/>
          <w:szCs w:val="18"/>
        </w:rPr>
        <w:t>官方样例中官方输出与</w:t>
      </w:r>
      <w:r>
        <w:rPr>
          <w:i/>
          <w:color w:val="555555"/>
          <w:sz w:val="18"/>
          <w:szCs w:val="18"/>
        </w:rPr>
        <w:t xml:space="preserve"> TWM </w:t>
      </w:r>
      <w:r>
        <w:rPr>
          <w:i/>
          <w:color w:val="555555"/>
          <w:sz w:val="18"/>
          <w:szCs w:val="18"/>
        </w:rPr>
        <w:t>候选预测图并列。</w:t>
      </w:r>
    </w:p>
    <w:p w14:paraId="580955A2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79BB8B9" wp14:editId="7C0A5803">
            <wp:extent cx="5897880" cy="2864684"/>
            <wp:effectExtent l="0" t="0" r="0" b="0"/>
            <wp:docPr id="5" name="twm_flus_v24_simopt_planner_ran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flus_v24_simopt_planner_rank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6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1338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5  TWM </w:t>
      </w:r>
      <w:r>
        <w:rPr>
          <w:i/>
          <w:color w:val="555555"/>
          <w:sz w:val="18"/>
          <w:szCs w:val="18"/>
        </w:rPr>
        <w:t>规划器在</w:t>
      </w:r>
      <w:r>
        <w:rPr>
          <w:i/>
          <w:color w:val="555555"/>
          <w:sz w:val="18"/>
          <w:szCs w:val="18"/>
        </w:rPr>
        <w:t xml:space="preserve"> FLUS V2.4 </w:t>
      </w:r>
      <w:r>
        <w:rPr>
          <w:i/>
          <w:color w:val="555555"/>
          <w:sz w:val="18"/>
          <w:szCs w:val="18"/>
        </w:rPr>
        <w:t>样例上的候选排序。</w:t>
      </w:r>
    </w:p>
    <w:p w14:paraId="6B1956B5" w14:textId="77777777" w:rsidR="007D35A3" w:rsidRDefault="00000000">
      <w:pPr>
        <w:pStyle w:val="1"/>
        <w:spacing w:after="100"/>
      </w:pPr>
      <w:r>
        <w:t>六、</w:t>
      </w:r>
      <w:proofErr w:type="spellStart"/>
      <w:r>
        <w:t>DongGuan</w:t>
      </w:r>
      <w:proofErr w:type="spellEnd"/>
      <w:r>
        <w:t xml:space="preserve"> 80m </w:t>
      </w:r>
      <w:r>
        <w:t>教程数据：接入与连续性验证</w:t>
      </w:r>
    </w:p>
    <w:p w14:paraId="46205843" w14:textId="77777777" w:rsidR="007D35A3" w:rsidRDefault="00000000">
      <w:proofErr w:type="spellStart"/>
      <w:r>
        <w:t>DongGuan</w:t>
      </w:r>
      <w:proofErr w:type="spellEnd"/>
      <w:r>
        <w:t xml:space="preserve"> 80m </w:t>
      </w:r>
      <w:r>
        <w:t>数据适合验证</w:t>
      </w:r>
      <w:r>
        <w:t xml:space="preserve"> TWM </w:t>
      </w:r>
      <w:r>
        <w:t>能否读取</w:t>
      </w:r>
      <w:r>
        <w:t xml:space="preserve"> </w:t>
      </w:r>
      <w:proofErr w:type="spellStart"/>
      <w:r>
        <w:t>GeoSOS</w:t>
      </w:r>
      <w:proofErr w:type="spellEnd"/>
      <w:r>
        <w:t xml:space="preserve">/FLUS </w:t>
      </w:r>
      <w:r>
        <w:t>风格的历史土地利用、驱动因子和转换约束，并生成渲染器、模拟器、规划器输出。但它缺少本次使用口径下的官方</w:t>
      </w:r>
      <w:r>
        <w:t xml:space="preserve"> FLUS </w:t>
      </w:r>
      <w:r>
        <w:t>预测图，因此不能用来声明</w:t>
      </w:r>
      <w:r>
        <w:t>“</w:t>
      </w:r>
      <w:r>
        <w:t>击败官方</w:t>
      </w:r>
      <w:r>
        <w:t xml:space="preserve"> FLUS”</w:t>
      </w:r>
      <w:r>
        <w:t>。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2275"/>
        <w:gridCol w:w="1152"/>
        <w:gridCol w:w="1152"/>
        <w:gridCol w:w="1235"/>
        <w:gridCol w:w="1152"/>
        <w:gridCol w:w="3320"/>
      </w:tblGrid>
      <w:tr w:rsidR="007D35A3" w14:paraId="04D037B5" w14:textId="77777777">
        <w:tc>
          <w:tcPr>
            <w:tcW w:w="2500" w:type="dxa"/>
            <w:shd w:val="clear" w:color="auto" w:fill="E8EEF7"/>
          </w:tcPr>
          <w:p w14:paraId="61E6DB94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候选</w:t>
            </w:r>
          </w:p>
        </w:tc>
        <w:tc>
          <w:tcPr>
            <w:tcW w:w="1200" w:type="dxa"/>
            <w:shd w:val="clear" w:color="auto" w:fill="E8EEF7"/>
          </w:tcPr>
          <w:p w14:paraId="7082A36A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OA</w:t>
            </w:r>
          </w:p>
        </w:tc>
        <w:tc>
          <w:tcPr>
            <w:tcW w:w="1200" w:type="dxa"/>
            <w:shd w:val="clear" w:color="auto" w:fill="E8EEF7"/>
          </w:tcPr>
          <w:p w14:paraId="5EC413DD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Kappa</w:t>
            </w:r>
          </w:p>
        </w:tc>
        <w:tc>
          <w:tcPr>
            <w:tcW w:w="1300" w:type="dxa"/>
            <w:shd w:val="clear" w:color="auto" w:fill="E8EEF7"/>
          </w:tcPr>
          <w:p w14:paraId="233AF6F4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Change </w:t>
            </w:r>
            <w:proofErr w:type="spellStart"/>
            <w:r>
              <w:rPr>
                <w:b/>
                <w:sz w:val="18"/>
                <w:szCs w:val="18"/>
              </w:rPr>
              <w:t>FoM</w:t>
            </w:r>
            <w:proofErr w:type="spellEnd"/>
          </w:p>
        </w:tc>
        <w:tc>
          <w:tcPr>
            <w:tcW w:w="1200" w:type="dxa"/>
            <w:shd w:val="clear" w:color="auto" w:fill="E8EEF7"/>
          </w:tcPr>
          <w:p w14:paraId="2820B72C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Change F1</w:t>
            </w:r>
          </w:p>
        </w:tc>
        <w:tc>
          <w:tcPr>
            <w:tcW w:w="3800" w:type="dxa"/>
            <w:shd w:val="clear" w:color="auto" w:fill="E8EEF7"/>
          </w:tcPr>
          <w:p w14:paraId="0A1FE63C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说明</w:t>
            </w:r>
          </w:p>
        </w:tc>
      </w:tr>
      <w:tr w:rsidR="007D35A3" w14:paraId="41A90F31" w14:textId="77777777">
        <w:tc>
          <w:tcPr>
            <w:tcW w:w="2500" w:type="dxa"/>
          </w:tcPr>
          <w:p w14:paraId="42F5DF2A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1200" w:type="dxa"/>
          </w:tcPr>
          <w:p w14:paraId="6D7F21E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0.943746</w:t>
            </w:r>
          </w:p>
        </w:tc>
        <w:tc>
          <w:tcPr>
            <w:tcW w:w="1200" w:type="dxa"/>
          </w:tcPr>
          <w:p w14:paraId="4143837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0.920710</w:t>
            </w:r>
          </w:p>
        </w:tc>
        <w:tc>
          <w:tcPr>
            <w:tcW w:w="1300" w:type="dxa"/>
          </w:tcPr>
          <w:p w14:paraId="561828A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1200" w:type="dxa"/>
          </w:tcPr>
          <w:p w14:paraId="77DC6B2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3800" w:type="dxa"/>
          </w:tcPr>
          <w:p w14:paraId="5E06B05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不变化基线</w:t>
            </w:r>
          </w:p>
        </w:tc>
      </w:tr>
      <w:tr w:rsidR="007D35A3" w14:paraId="3535ABF8" w14:textId="77777777">
        <w:tc>
          <w:tcPr>
            <w:tcW w:w="2500" w:type="dxa"/>
          </w:tcPr>
          <w:p w14:paraId="0DB8AD1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Markov projection</w:t>
            </w:r>
          </w:p>
        </w:tc>
        <w:tc>
          <w:tcPr>
            <w:tcW w:w="1200" w:type="dxa"/>
          </w:tcPr>
          <w:p w14:paraId="00D5CAA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0.920858</w:t>
            </w:r>
          </w:p>
        </w:tc>
        <w:tc>
          <w:tcPr>
            <w:tcW w:w="1200" w:type="dxa"/>
          </w:tcPr>
          <w:p w14:paraId="24CBA34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0.887048</w:t>
            </w:r>
          </w:p>
        </w:tc>
        <w:tc>
          <w:tcPr>
            <w:tcW w:w="1300" w:type="dxa"/>
          </w:tcPr>
          <w:p w14:paraId="3343F9B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0.065371</w:t>
            </w:r>
          </w:p>
        </w:tc>
        <w:tc>
          <w:tcPr>
            <w:tcW w:w="1200" w:type="dxa"/>
          </w:tcPr>
          <w:p w14:paraId="51CFD0C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0.122719</w:t>
            </w:r>
          </w:p>
        </w:tc>
        <w:tc>
          <w:tcPr>
            <w:tcW w:w="3800" w:type="dxa"/>
          </w:tcPr>
          <w:p w14:paraId="2C89956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透明转移基线</w:t>
            </w:r>
          </w:p>
        </w:tc>
      </w:tr>
      <w:tr w:rsidR="007D35A3" w14:paraId="0ACFA863" w14:textId="77777777">
        <w:tc>
          <w:tcPr>
            <w:tcW w:w="2500" w:type="dxa"/>
          </w:tcPr>
          <w:p w14:paraId="6713263A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TWM independent logit</w:t>
            </w:r>
          </w:p>
        </w:tc>
        <w:tc>
          <w:tcPr>
            <w:tcW w:w="1200" w:type="dxa"/>
          </w:tcPr>
          <w:p w14:paraId="64AE76C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0.906355</w:t>
            </w:r>
          </w:p>
        </w:tc>
        <w:tc>
          <w:tcPr>
            <w:tcW w:w="1200" w:type="dxa"/>
          </w:tcPr>
          <w:p w14:paraId="1410A0B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0.866279</w:t>
            </w:r>
          </w:p>
        </w:tc>
        <w:tc>
          <w:tcPr>
            <w:tcW w:w="1300" w:type="dxa"/>
          </w:tcPr>
          <w:p w14:paraId="5CF26B3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0.084358</w:t>
            </w:r>
          </w:p>
        </w:tc>
        <w:tc>
          <w:tcPr>
            <w:tcW w:w="1200" w:type="dxa"/>
          </w:tcPr>
          <w:p w14:paraId="5B07010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0.155591</w:t>
            </w:r>
          </w:p>
        </w:tc>
        <w:tc>
          <w:tcPr>
            <w:tcW w:w="3800" w:type="dxa"/>
          </w:tcPr>
          <w:p w14:paraId="36C0502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独立</w:t>
            </w:r>
            <w:r>
              <w:rPr>
                <w:sz w:val="18"/>
                <w:szCs w:val="18"/>
              </w:rPr>
              <w:t xml:space="preserve"> TWM dynamics</w:t>
            </w:r>
          </w:p>
        </w:tc>
      </w:tr>
      <w:tr w:rsidR="007D35A3" w14:paraId="542F1BC2" w14:textId="77777777">
        <w:tc>
          <w:tcPr>
            <w:tcW w:w="2500" w:type="dxa"/>
          </w:tcPr>
          <w:p w14:paraId="5B7B84A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TWM change seeking</w:t>
            </w:r>
          </w:p>
        </w:tc>
        <w:tc>
          <w:tcPr>
            <w:tcW w:w="1200" w:type="dxa"/>
          </w:tcPr>
          <w:p w14:paraId="2C9BE3D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0.863593</w:t>
            </w:r>
          </w:p>
        </w:tc>
        <w:tc>
          <w:tcPr>
            <w:tcW w:w="1200" w:type="dxa"/>
          </w:tcPr>
          <w:p w14:paraId="7380704A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0.804365</w:t>
            </w:r>
          </w:p>
        </w:tc>
        <w:tc>
          <w:tcPr>
            <w:tcW w:w="1300" w:type="dxa"/>
          </w:tcPr>
          <w:p w14:paraId="2160C82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0.100769</w:t>
            </w:r>
          </w:p>
        </w:tc>
        <w:tc>
          <w:tcPr>
            <w:tcW w:w="1200" w:type="dxa"/>
          </w:tcPr>
          <w:p w14:paraId="18EAA6E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0.183088</w:t>
            </w:r>
          </w:p>
        </w:tc>
        <w:tc>
          <w:tcPr>
            <w:tcW w:w="3800" w:type="dxa"/>
          </w:tcPr>
          <w:p w14:paraId="7D12C57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变化定位导向候选</w:t>
            </w:r>
          </w:p>
        </w:tc>
      </w:tr>
    </w:tbl>
    <w:p w14:paraId="2E48C91B" w14:textId="77777777" w:rsidR="007D35A3" w:rsidRDefault="007D35A3">
      <w:pPr>
        <w:spacing w:after="80"/>
      </w:pPr>
    </w:p>
    <w:p w14:paraId="3957CC4D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3DF5DE2" wp14:editId="1B216512">
            <wp:extent cx="5897880" cy="1613243"/>
            <wp:effectExtent l="0" t="0" r="0" b="0"/>
            <wp:docPr id="6" name="twm_dongguan_independent_dynamics_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dongguan_independent_dynamics_ma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1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885A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6  </w:t>
      </w:r>
      <w:proofErr w:type="spellStart"/>
      <w:r>
        <w:rPr>
          <w:i/>
          <w:color w:val="555555"/>
          <w:sz w:val="18"/>
          <w:szCs w:val="18"/>
        </w:rPr>
        <w:t>DongGuan</w:t>
      </w:r>
      <w:proofErr w:type="spellEnd"/>
      <w:r>
        <w:rPr>
          <w:i/>
          <w:color w:val="555555"/>
          <w:sz w:val="18"/>
          <w:szCs w:val="18"/>
        </w:rPr>
        <w:t xml:space="preserve"> 80m </w:t>
      </w:r>
      <w:r>
        <w:rPr>
          <w:i/>
          <w:color w:val="555555"/>
          <w:sz w:val="18"/>
          <w:szCs w:val="18"/>
        </w:rPr>
        <w:t>上</w:t>
      </w:r>
      <w:r>
        <w:rPr>
          <w:i/>
          <w:color w:val="555555"/>
          <w:sz w:val="18"/>
          <w:szCs w:val="18"/>
        </w:rPr>
        <w:t xml:space="preserve"> TWM </w:t>
      </w:r>
      <w:r>
        <w:rPr>
          <w:i/>
          <w:color w:val="555555"/>
          <w:sz w:val="18"/>
          <w:szCs w:val="18"/>
        </w:rPr>
        <w:t>独立</w:t>
      </w:r>
      <w:r>
        <w:rPr>
          <w:i/>
          <w:color w:val="555555"/>
          <w:sz w:val="18"/>
          <w:szCs w:val="18"/>
        </w:rPr>
        <w:t xml:space="preserve"> dynamics </w:t>
      </w:r>
      <w:r>
        <w:rPr>
          <w:i/>
          <w:color w:val="555555"/>
          <w:sz w:val="18"/>
          <w:szCs w:val="18"/>
        </w:rPr>
        <w:t>的模拟图。</w:t>
      </w:r>
    </w:p>
    <w:p w14:paraId="1E8CD17E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B2F1F54" wp14:editId="09D1D7C6">
            <wp:extent cx="5897880" cy="1326118"/>
            <wp:effectExtent l="0" t="0" r="0" b="0"/>
            <wp:docPr id="7" name="twm_dongguan_simopt_prediction_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dongguan_simopt_prediction_ma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9EB9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  </w:t>
      </w:r>
      <w:proofErr w:type="spellStart"/>
      <w:r>
        <w:rPr>
          <w:i/>
          <w:color w:val="555555"/>
          <w:sz w:val="18"/>
          <w:szCs w:val="18"/>
        </w:rPr>
        <w:t>DongGuan</w:t>
      </w:r>
      <w:proofErr w:type="spellEnd"/>
      <w:r>
        <w:rPr>
          <w:i/>
          <w:color w:val="555555"/>
          <w:sz w:val="18"/>
          <w:szCs w:val="18"/>
        </w:rPr>
        <w:t xml:space="preserve"> </w:t>
      </w:r>
      <w:r>
        <w:rPr>
          <w:i/>
          <w:color w:val="555555"/>
          <w:sz w:val="18"/>
          <w:szCs w:val="18"/>
        </w:rPr>
        <w:t>教程数据上的</w:t>
      </w:r>
      <w:r>
        <w:rPr>
          <w:i/>
          <w:color w:val="555555"/>
          <w:sz w:val="18"/>
          <w:szCs w:val="18"/>
        </w:rPr>
        <w:t xml:space="preserve"> TWM </w:t>
      </w:r>
      <w:r>
        <w:rPr>
          <w:i/>
          <w:color w:val="555555"/>
          <w:sz w:val="18"/>
          <w:szCs w:val="18"/>
        </w:rPr>
        <w:t>方案模拟与规划输出。</w:t>
      </w:r>
    </w:p>
    <w:p w14:paraId="0BCEF1C8" w14:textId="77777777" w:rsidR="007D35A3" w:rsidRDefault="00000000">
      <w:pPr>
        <w:pStyle w:val="1"/>
        <w:spacing w:after="100"/>
      </w:pPr>
      <w:r>
        <w:t>七、</w:t>
      </w:r>
      <w:r>
        <w:t>Dynamic World admin20</w:t>
      </w:r>
      <w:r>
        <w:t>：公开多区域验证</w:t>
      </w:r>
    </w:p>
    <w:p w14:paraId="1D1E3F94" w14:textId="77777777" w:rsidR="007D35A3" w:rsidRDefault="00000000">
      <w:r>
        <w:t>为了避免只在一个教程样例上讨论，</w:t>
      </w:r>
      <w:r>
        <w:t xml:space="preserve">TWM </w:t>
      </w:r>
      <w:r>
        <w:t>还基于</w:t>
      </w:r>
      <w:r>
        <w:t xml:space="preserve"> Google Earth Engine </w:t>
      </w:r>
      <w:r>
        <w:t>下载了</w:t>
      </w:r>
      <w:r>
        <w:t xml:space="preserve"> Dynamic World </w:t>
      </w:r>
      <w:r>
        <w:t>公开数据，形成</w:t>
      </w:r>
      <w:r>
        <w:t xml:space="preserve"> 20 </w:t>
      </w:r>
      <w:r>
        <w:t>个乡镇</w:t>
      </w:r>
      <w:r>
        <w:t>/</w:t>
      </w:r>
      <w:r>
        <w:t>街道、</w:t>
      </w:r>
      <w:r>
        <w:t xml:space="preserve">2017-2023 </w:t>
      </w:r>
      <w:r>
        <w:t>年、</w:t>
      </w:r>
      <w:r>
        <w:t xml:space="preserve">100 </w:t>
      </w:r>
      <w:r>
        <w:t>个</w:t>
      </w:r>
      <w:r>
        <w:t xml:space="preserve"> rolling cases </w:t>
      </w:r>
      <w:r>
        <w:t>的多区域验证。该实验不对标</w:t>
      </w:r>
      <w:r>
        <w:t xml:space="preserve"> FLUS</w:t>
      </w:r>
      <w:r>
        <w:t>，而是验证</w:t>
      </w:r>
      <w:r>
        <w:t xml:space="preserve"> TWM dynamics </w:t>
      </w:r>
      <w:r>
        <w:t>在公开多时期土地覆盖变化上的泛化方向。</w:t>
      </w:r>
    </w:p>
    <w:p w14:paraId="2C79D3E7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24F7CF4" wp14:editId="4E79750E">
            <wp:extent cx="5897880" cy="2708700"/>
            <wp:effectExtent l="0" t="0" r="0" b="0"/>
            <wp:docPr id="8" name="twm_dynamic_world_admin20_key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dynamic_world_admin20_key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152A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8  Dynamic World admin20 </w:t>
      </w:r>
      <w:r>
        <w:rPr>
          <w:i/>
          <w:color w:val="555555"/>
          <w:sz w:val="18"/>
          <w:szCs w:val="18"/>
        </w:rPr>
        <w:t>公开多区域验证关键指标。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2131"/>
        <w:gridCol w:w="1099"/>
        <w:gridCol w:w="1099"/>
        <w:gridCol w:w="1293"/>
        <w:gridCol w:w="1228"/>
        <w:gridCol w:w="1085"/>
        <w:gridCol w:w="2351"/>
      </w:tblGrid>
      <w:tr w:rsidR="007D35A3" w14:paraId="63B3E64F" w14:textId="77777777">
        <w:tc>
          <w:tcPr>
            <w:tcW w:w="2600" w:type="dxa"/>
            <w:shd w:val="clear" w:color="auto" w:fill="E8EEF7"/>
          </w:tcPr>
          <w:p w14:paraId="4F0FDAB4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lastRenderedPageBreak/>
              <w:t>候选</w:t>
            </w:r>
          </w:p>
        </w:tc>
        <w:tc>
          <w:tcPr>
            <w:tcW w:w="1200" w:type="dxa"/>
            <w:shd w:val="clear" w:color="auto" w:fill="E8EEF7"/>
          </w:tcPr>
          <w:p w14:paraId="2E45FB31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Mean OA</w:t>
            </w:r>
          </w:p>
        </w:tc>
        <w:tc>
          <w:tcPr>
            <w:tcW w:w="1200" w:type="dxa"/>
            <w:shd w:val="clear" w:color="auto" w:fill="E8EEF7"/>
          </w:tcPr>
          <w:p w14:paraId="4DC24B6F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Mean Kappa</w:t>
            </w:r>
          </w:p>
        </w:tc>
        <w:tc>
          <w:tcPr>
            <w:tcW w:w="1500" w:type="dxa"/>
            <w:shd w:val="clear" w:color="auto" w:fill="E8EEF7"/>
          </w:tcPr>
          <w:p w14:paraId="31D4C9DA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Mean Change </w:t>
            </w:r>
            <w:proofErr w:type="spellStart"/>
            <w:r>
              <w:rPr>
                <w:b/>
                <w:sz w:val="18"/>
                <w:szCs w:val="18"/>
              </w:rPr>
              <w:t>FoM</w:t>
            </w:r>
            <w:proofErr w:type="spellEnd"/>
          </w:p>
        </w:tc>
        <w:tc>
          <w:tcPr>
            <w:tcW w:w="1400" w:type="dxa"/>
            <w:shd w:val="clear" w:color="auto" w:fill="E8EEF7"/>
          </w:tcPr>
          <w:p w14:paraId="4B507295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Mean Change F1</w:t>
            </w:r>
          </w:p>
        </w:tc>
        <w:tc>
          <w:tcPr>
            <w:tcW w:w="1200" w:type="dxa"/>
            <w:shd w:val="clear" w:color="auto" w:fill="E8EEF7"/>
          </w:tcPr>
          <w:p w14:paraId="6848956B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Demand error</w:t>
            </w:r>
          </w:p>
        </w:tc>
        <w:tc>
          <w:tcPr>
            <w:tcW w:w="3000" w:type="dxa"/>
            <w:shd w:val="clear" w:color="auto" w:fill="E8EEF7"/>
          </w:tcPr>
          <w:p w14:paraId="43991B2A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说明</w:t>
            </w:r>
          </w:p>
        </w:tc>
      </w:tr>
      <w:tr w:rsidR="007D35A3" w14:paraId="59183558" w14:textId="77777777">
        <w:tc>
          <w:tcPr>
            <w:tcW w:w="2600" w:type="dxa"/>
          </w:tcPr>
          <w:p w14:paraId="07974C8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Markov transition projection</w:t>
            </w:r>
          </w:p>
        </w:tc>
        <w:tc>
          <w:tcPr>
            <w:tcW w:w="1200" w:type="dxa"/>
          </w:tcPr>
          <w:p w14:paraId="52608D9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0.903706</w:t>
            </w:r>
          </w:p>
        </w:tc>
        <w:tc>
          <w:tcPr>
            <w:tcW w:w="1200" w:type="dxa"/>
          </w:tcPr>
          <w:p w14:paraId="5D25E2C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0.780626</w:t>
            </w:r>
          </w:p>
        </w:tc>
        <w:tc>
          <w:tcPr>
            <w:tcW w:w="1500" w:type="dxa"/>
          </w:tcPr>
          <w:p w14:paraId="1179DA3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0.045569</w:t>
            </w:r>
          </w:p>
        </w:tc>
        <w:tc>
          <w:tcPr>
            <w:tcW w:w="1400" w:type="dxa"/>
          </w:tcPr>
          <w:p w14:paraId="0AB5355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0.085295</w:t>
            </w:r>
          </w:p>
        </w:tc>
        <w:tc>
          <w:tcPr>
            <w:tcW w:w="1200" w:type="dxa"/>
          </w:tcPr>
          <w:p w14:paraId="64CD124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</w:tcPr>
          <w:p w14:paraId="2A42A09B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传统透明转移基线</w:t>
            </w:r>
          </w:p>
        </w:tc>
      </w:tr>
      <w:tr w:rsidR="007D35A3" w14:paraId="26944D4B" w14:textId="77777777">
        <w:tc>
          <w:tcPr>
            <w:tcW w:w="2600" w:type="dxa"/>
          </w:tcPr>
          <w:p w14:paraId="10C3656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TWM independent forecast demand</w:t>
            </w:r>
          </w:p>
        </w:tc>
        <w:tc>
          <w:tcPr>
            <w:tcW w:w="1200" w:type="dxa"/>
          </w:tcPr>
          <w:p w14:paraId="33162AF6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0.908289</w:t>
            </w:r>
          </w:p>
        </w:tc>
        <w:tc>
          <w:tcPr>
            <w:tcW w:w="1200" w:type="dxa"/>
          </w:tcPr>
          <w:p w14:paraId="747AF39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0.789502</w:t>
            </w:r>
          </w:p>
        </w:tc>
        <w:tc>
          <w:tcPr>
            <w:tcW w:w="1500" w:type="dxa"/>
          </w:tcPr>
          <w:p w14:paraId="2BDFA1A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0.072289</w:t>
            </w:r>
          </w:p>
        </w:tc>
        <w:tc>
          <w:tcPr>
            <w:tcW w:w="1400" w:type="dxa"/>
          </w:tcPr>
          <w:p w14:paraId="3D4852C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0.132572</w:t>
            </w:r>
          </w:p>
        </w:tc>
        <w:tc>
          <w:tcPr>
            <w:tcW w:w="1200" w:type="dxa"/>
          </w:tcPr>
          <w:p w14:paraId="1A9BE24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</w:tcPr>
          <w:p w14:paraId="6945672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正式</w:t>
            </w:r>
            <w:r>
              <w:rPr>
                <w:sz w:val="18"/>
                <w:szCs w:val="18"/>
              </w:rPr>
              <w:t xml:space="preserve"> forecast-demand TWM </w:t>
            </w:r>
            <w:r>
              <w:rPr>
                <w:sz w:val="18"/>
                <w:szCs w:val="18"/>
              </w:rPr>
              <w:t>候选</w:t>
            </w:r>
          </w:p>
        </w:tc>
      </w:tr>
      <w:tr w:rsidR="007D35A3" w14:paraId="1E650BAB" w14:textId="77777777">
        <w:tc>
          <w:tcPr>
            <w:tcW w:w="2600" w:type="dxa"/>
          </w:tcPr>
          <w:p w14:paraId="2265FA3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TWM cross-region smoothing</w:t>
            </w:r>
          </w:p>
        </w:tc>
        <w:tc>
          <w:tcPr>
            <w:tcW w:w="1200" w:type="dxa"/>
          </w:tcPr>
          <w:p w14:paraId="3D3C936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0.908285</w:t>
            </w:r>
          </w:p>
        </w:tc>
        <w:tc>
          <w:tcPr>
            <w:tcW w:w="1200" w:type="dxa"/>
          </w:tcPr>
          <w:p w14:paraId="57F0A413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0.789484</w:t>
            </w:r>
          </w:p>
        </w:tc>
        <w:tc>
          <w:tcPr>
            <w:tcW w:w="1500" w:type="dxa"/>
          </w:tcPr>
          <w:p w14:paraId="45D340D2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0.072275</w:t>
            </w:r>
          </w:p>
        </w:tc>
        <w:tc>
          <w:tcPr>
            <w:tcW w:w="1400" w:type="dxa"/>
          </w:tcPr>
          <w:p w14:paraId="546AA2E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0.132543</w:t>
            </w:r>
          </w:p>
        </w:tc>
        <w:tc>
          <w:tcPr>
            <w:tcW w:w="1200" w:type="dxa"/>
          </w:tcPr>
          <w:p w14:paraId="19F8B0B2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</w:tcPr>
          <w:p w14:paraId="749F4D4A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leave-region-out </w:t>
            </w:r>
            <w:r>
              <w:rPr>
                <w:sz w:val="18"/>
                <w:szCs w:val="18"/>
              </w:rPr>
              <w:t>跨区域平滑；未超过</w:t>
            </w:r>
            <w:r>
              <w:rPr>
                <w:sz w:val="18"/>
                <w:szCs w:val="18"/>
              </w:rPr>
              <w:t xml:space="preserve"> independent</w:t>
            </w:r>
          </w:p>
        </w:tc>
      </w:tr>
      <w:tr w:rsidR="007D35A3" w14:paraId="75697C2F" w14:textId="77777777">
        <w:tc>
          <w:tcPr>
            <w:tcW w:w="2600" w:type="dxa"/>
          </w:tcPr>
          <w:p w14:paraId="257D554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No-neighborhood ablation</w:t>
            </w:r>
          </w:p>
        </w:tc>
        <w:tc>
          <w:tcPr>
            <w:tcW w:w="1200" w:type="dxa"/>
          </w:tcPr>
          <w:p w14:paraId="543E049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0.905953</w:t>
            </w:r>
          </w:p>
        </w:tc>
        <w:tc>
          <w:tcPr>
            <w:tcW w:w="1200" w:type="dxa"/>
          </w:tcPr>
          <w:p w14:paraId="6A43401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0.784610</w:t>
            </w:r>
          </w:p>
        </w:tc>
        <w:tc>
          <w:tcPr>
            <w:tcW w:w="1500" w:type="dxa"/>
          </w:tcPr>
          <w:p w14:paraId="30FDA7E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0.058692</w:t>
            </w:r>
          </w:p>
        </w:tc>
        <w:tc>
          <w:tcPr>
            <w:tcW w:w="1400" w:type="dxa"/>
          </w:tcPr>
          <w:p w14:paraId="0E1E95E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0.108670</w:t>
            </w:r>
          </w:p>
        </w:tc>
        <w:tc>
          <w:tcPr>
            <w:tcW w:w="1200" w:type="dxa"/>
          </w:tcPr>
          <w:p w14:paraId="4669314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</w:tcPr>
          <w:p w14:paraId="4C946EB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移除邻域上下文后性能下降</w:t>
            </w:r>
          </w:p>
        </w:tc>
      </w:tr>
      <w:tr w:rsidR="007D35A3" w14:paraId="1804420F" w14:textId="77777777">
        <w:tc>
          <w:tcPr>
            <w:tcW w:w="2600" w:type="dxa"/>
          </w:tcPr>
          <w:p w14:paraId="6ACE1F5E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Oracle-demand upper bound</w:t>
            </w:r>
          </w:p>
        </w:tc>
        <w:tc>
          <w:tcPr>
            <w:tcW w:w="1200" w:type="dxa"/>
          </w:tcPr>
          <w:p w14:paraId="0096429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0.920055</w:t>
            </w:r>
          </w:p>
        </w:tc>
        <w:tc>
          <w:tcPr>
            <w:tcW w:w="1200" w:type="dxa"/>
          </w:tcPr>
          <w:p w14:paraId="1F84CAC2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0.815725</w:t>
            </w:r>
          </w:p>
        </w:tc>
        <w:tc>
          <w:tcPr>
            <w:tcW w:w="1500" w:type="dxa"/>
          </w:tcPr>
          <w:p w14:paraId="446347A6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0.129043</w:t>
            </w:r>
          </w:p>
        </w:tc>
        <w:tc>
          <w:tcPr>
            <w:tcW w:w="1400" w:type="dxa"/>
          </w:tcPr>
          <w:p w14:paraId="2FC0821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0.217537</w:t>
            </w:r>
          </w:p>
        </w:tc>
        <w:tc>
          <w:tcPr>
            <w:tcW w:w="1200" w:type="dxa"/>
          </w:tcPr>
          <w:p w14:paraId="074C436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</w:tcPr>
          <w:p w14:paraId="13C2174B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使用目标年类别总量，只是上限诊断</w:t>
            </w:r>
          </w:p>
        </w:tc>
      </w:tr>
    </w:tbl>
    <w:p w14:paraId="7666FA8F" w14:textId="77777777" w:rsidR="007D35A3" w:rsidRDefault="007D35A3">
      <w:pPr>
        <w:spacing w:after="80"/>
      </w:pPr>
    </w:p>
    <w:p w14:paraId="67A73A3B" w14:textId="77777777" w:rsidR="007D35A3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48C80D1" wp14:editId="3D368687">
            <wp:extent cx="5897880" cy="1132799"/>
            <wp:effectExtent l="0" t="0" r="0" b="0"/>
            <wp:docPr id="9" name="twm_public_landcover_benchmark_ma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m_public_landcover_benchmark_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3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D40F" w14:textId="77777777" w:rsidR="007D35A3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9  Dynamic World admin20 </w:t>
      </w:r>
      <w:r>
        <w:rPr>
          <w:i/>
          <w:color w:val="555555"/>
          <w:sz w:val="18"/>
          <w:szCs w:val="18"/>
        </w:rPr>
        <w:t>样例地图输出。</w:t>
      </w:r>
    </w:p>
    <w:p w14:paraId="4AE10922" w14:textId="77777777" w:rsidR="007D35A3" w:rsidRDefault="00000000">
      <w:r>
        <w:t>关键解读：</w:t>
      </w:r>
    </w:p>
    <w:p w14:paraId="36283458" w14:textId="77777777" w:rsidR="007D35A3" w:rsidRDefault="00000000">
      <w:pPr>
        <w:pStyle w:val="a4"/>
        <w:spacing w:after="80"/>
      </w:pPr>
      <w:r>
        <w:t>正式</w:t>
      </w:r>
      <w:r>
        <w:t xml:space="preserve"> forecast-demand </w:t>
      </w:r>
      <w:r>
        <w:t>设定下，</w:t>
      </w:r>
      <w:r>
        <w:t xml:space="preserve">TWM independent </w:t>
      </w:r>
      <w:r>
        <w:t>的</w:t>
      </w:r>
      <w:r>
        <w:t xml:space="preserve"> Mean Change </w:t>
      </w:r>
      <w:proofErr w:type="spellStart"/>
      <w:r>
        <w:t>FoM</w:t>
      </w:r>
      <w:proofErr w:type="spellEnd"/>
      <w:r>
        <w:t xml:space="preserve"> </w:t>
      </w:r>
      <w:r>
        <w:t>为</w:t>
      </w:r>
      <w:r>
        <w:t xml:space="preserve"> 0.072289</w:t>
      </w:r>
      <w:r>
        <w:t>，高于</w:t>
      </w:r>
      <w:r>
        <w:t xml:space="preserve"> Markov </w:t>
      </w:r>
      <w:r>
        <w:t>的</w:t>
      </w:r>
      <w:r>
        <w:t xml:space="preserve"> 0.045569</w:t>
      </w:r>
      <w:r>
        <w:t>；</w:t>
      </w:r>
      <w:r>
        <w:t xml:space="preserve">Mean OA </w:t>
      </w:r>
      <w:r>
        <w:t>也从</w:t>
      </w:r>
      <w:r>
        <w:t xml:space="preserve"> 0.903706 </w:t>
      </w:r>
      <w:r>
        <w:t>提升到</w:t>
      </w:r>
      <w:r>
        <w:t xml:space="preserve"> 0.908289</w:t>
      </w:r>
      <w:r>
        <w:t>。</w:t>
      </w:r>
    </w:p>
    <w:p w14:paraId="3F6CE963" w14:textId="77777777" w:rsidR="007D35A3" w:rsidRDefault="00000000">
      <w:pPr>
        <w:pStyle w:val="a4"/>
        <w:spacing w:after="80"/>
      </w:pPr>
      <w:r>
        <w:t xml:space="preserve">Persistence </w:t>
      </w:r>
      <w:r>
        <w:t>的</w:t>
      </w:r>
      <w:r>
        <w:t xml:space="preserve"> Mean OA </w:t>
      </w:r>
      <w:r>
        <w:t>为</w:t>
      </w:r>
      <w:r>
        <w:t xml:space="preserve"> 0.925218</w:t>
      </w:r>
      <w:r>
        <w:t>，但</w:t>
      </w:r>
      <w:r>
        <w:t xml:space="preserve"> Change </w:t>
      </w:r>
      <w:proofErr w:type="spellStart"/>
      <w:r>
        <w:t>FoM</w:t>
      </w:r>
      <w:proofErr w:type="spellEnd"/>
      <w:r>
        <w:t xml:space="preserve"> </w:t>
      </w:r>
      <w:r>
        <w:t>为</w:t>
      </w:r>
      <w:r>
        <w:t xml:space="preserve"> 0</w:t>
      </w:r>
      <w:r>
        <w:t>；说明在土地覆盖变化任务中，</w:t>
      </w:r>
      <w:r>
        <w:t xml:space="preserve">OA </w:t>
      </w:r>
      <w:r>
        <w:t>不能单独作为评价依据。</w:t>
      </w:r>
    </w:p>
    <w:p w14:paraId="50425780" w14:textId="77777777" w:rsidR="007D35A3" w:rsidRDefault="00000000">
      <w:pPr>
        <w:pStyle w:val="a4"/>
        <w:spacing w:after="80"/>
      </w:pPr>
      <w:r>
        <w:t xml:space="preserve">No-neighborhood ablation </w:t>
      </w:r>
      <w:r>
        <w:t>的</w:t>
      </w:r>
      <w:r>
        <w:t xml:space="preserve"> Mean Change </w:t>
      </w:r>
      <w:proofErr w:type="spellStart"/>
      <w:r>
        <w:t>FoM</w:t>
      </w:r>
      <w:proofErr w:type="spellEnd"/>
      <w:r>
        <w:t xml:space="preserve"> </w:t>
      </w:r>
      <w:r>
        <w:t>为</w:t>
      </w:r>
      <w:r>
        <w:t xml:space="preserve"> 0.058692</w:t>
      </w:r>
      <w:r>
        <w:t>，低于</w:t>
      </w:r>
      <w:r>
        <w:t xml:space="preserve"> full TWM</w:t>
      </w:r>
      <w:r>
        <w:t>，说明邻域上下文是当前最稳定的正贡献组件。</w:t>
      </w:r>
    </w:p>
    <w:p w14:paraId="1C23AFDB" w14:textId="77777777" w:rsidR="007D35A3" w:rsidRDefault="00000000">
      <w:pPr>
        <w:pStyle w:val="a4"/>
        <w:spacing w:after="80"/>
      </w:pPr>
      <w:r>
        <w:t>当前</w:t>
      </w:r>
      <w:r>
        <w:t xml:space="preserve"> SRTM/VIIRS </w:t>
      </w:r>
      <w:r>
        <w:t>驱动因子没有改善聚合</w:t>
      </w:r>
      <w:r>
        <w:t xml:space="preserve"> Change </w:t>
      </w:r>
      <w:proofErr w:type="spellStart"/>
      <w:r>
        <w:t>FoM</w:t>
      </w:r>
      <w:proofErr w:type="spellEnd"/>
      <w:r>
        <w:t>，说明驱动因子还不够贴近真实土地变化机制，后续应加入道路、人口、政策、经济活动等协变量。</w:t>
      </w:r>
    </w:p>
    <w:p w14:paraId="201E1CAF" w14:textId="77777777" w:rsidR="007D35A3" w:rsidRDefault="00000000">
      <w:pPr>
        <w:pStyle w:val="1"/>
        <w:spacing w:after="100"/>
      </w:pPr>
      <w:r>
        <w:t>八、</w:t>
      </w:r>
      <w:r>
        <w:t xml:space="preserve">TWM </w:t>
      </w:r>
      <w:r>
        <w:t>为什么能够覆盖</w:t>
      </w:r>
      <w:r>
        <w:t xml:space="preserve"> FLUS </w:t>
      </w:r>
      <w:r>
        <w:t>类型问题</w:t>
      </w:r>
    </w:p>
    <w:p w14:paraId="3E3F1AEC" w14:textId="77777777" w:rsidR="007D35A3" w:rsidRDefault="00000000">
      <w:r>
        <w:t xml:space="preserve">TWM </w:t>
      </w:r>
      <w:r>
        <w:t>能覆盖</w:t>
      </w:r>
      <w:r>
        <w:t xml:space="preserve"> FLUS </w:t>
      </w:r>
      <w:r>
        <w:t>类型子任务，不是因为简单复刻</w:t>
      </w:r>
      <w:r>
        <w:t xml:space="preserve"> FLUS</w:t>
      </w:r>
      <w:r>
        <w:t>，而是因为其</w:t>
      </w:r>
      <w:r>
        <w:t xml:space="preserve"> renderer-simulator-planner </w:t>
      </w:r>
      <w:r>
        <w:t>架构包含土地利用模拟所需的关键环节，并在此基础上增加了治理型能力。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1576"/>
        <w:gridCol w:w="3069"/>
        <w:gridCol w:w="2724"/>
        <w:gridCol w:w="2917"/>
      </w:tblGrid>
      <w:tr w:rsidR="007D35A3" w14:paraId="39FE463E" w14:textId="77777777">
        <w:tc>
          <w:tcPr>
            <w:tcW w:w="1600" w:type="dxa"/>
            <w:shd w:val="clear" w:color="auto" w:fill="E8EEF7"/>
          </w:tcPr>
          <w:p w14:paraId="15F8B62A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层次</w:t>
            </w:r>
          </w:p>
        </w:tc>
        <w:tc>
          <w:tcPr>
            <w:tcW w:w="3100" w:type="dxa"/>
            <w:shd w:val="clear" w:color="auto" w:fill="E8EEF7"/>
          </w:tcPr>
          <w:p w14:paraId="0171285A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 xml:space="preserve">TWM </w:t>
            </w:r>
            <w:r>
              <w:rPr>
                <w:b/>
                <w:sz w:val="18"/>
                <w:szCs w:val="18"/>
              </w:rPr>
              <w:t>中的作用</w:t>
            </w:r>
          </w:p>
        </w:tc>
        <w:tc>
          <w:tcPr>
            <w:tcW w:w="2800" w:type="dxa"/>
            <w:shd w:val="clear" w:color="auto" w:fill="E8EEF7"/>
          </w:tcPr>
          <w:p w14:paraId="6D25B5EC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对应</w:t>
            </w:r>
            <w:r>
              <w:rPr>
                <w:b/>
                <w:sz w:val="18"/>
                <w:szCs w:val="18"/>
              </w:rPr>
              <w:t xml:space="preserve"> FLUS </w:t>
            </w:r>
            <w:r>
              <w:rPr>
                <w:b/>
                <w:sz w:val="18"/>
                <w:szCs w:val="18"/>
              </w:rPr>
              <w:t>型任务</w:t>
            </w:r>
          </w:p>
        </w:tc>
        <w:tc>
          <w:tcPr>
            <w:tcW w:w="3000" w:type="dxa"/>
            <w:shd w:val="clear" w:color="auto" w:fill="E8EEF7"/>
          </w:tcPr>
          <w:p w14:paraId="5AC10589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超出</w:t>
            </w:r>
            <w:r>
              <w:rPr>
                <w:b/>
                <w:sz w:val="18"/>
                <w:szCs w:val="18"/>
              </w:rPr>
              <w:t xml:space="preserve"> FLUS </w:t>
            </w:r>
            <w:r>
              <w:rPr>
                <w:b/>
                <w:sz w:val="18"/>
                <w:szCs w:val="18"/>
              </w:rPr>
              <w:t>的部分</w:t>
            </w:r>
          </w:p>
        </w:tc>
      </w:tr>
      <w:tr w:rsidR="007D35A3" w14:paraId="43D242CE" w14:textId="77777777">
        <w:tc>
          <w:tcPr>
            <w:tcW w:w="1600" w:type="dxa"/>
          </w:tcPr>
          <w:p w14:paraId="6AD97A7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Renderer</w:t>
            </w:r>
          </w:p>
        </w:tc>
        <w:tc>
          <w:tcPr>
            <w:tcW w:w="3100" w:type="dxa"/>
          </w:tcPr>
          <w:p w14:paraId="343BD4B7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把土地利用图、驱动因子、限制区、变化图、指标表和证据链渲染为可审查对象。</w:t>
            </w:r>
          </w:p>
        </w:tc>
        <w:tc>
          <w:tcPr>
            <w:tcW w:w="2800" w:type="dxa"/>
          </w:tcPr>
          <w:p w14:paraId="765C2DD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输入数据检查、预测图与变化图输出。</w:t>
            </w:r>
          </w:p>
        </w:tc>
        <w:tc>
          <w:tcPr>
            <w:tcW w:w="3000" w:type="dxa"/>
          </w:tcPr>
          <w:p w14:paraId="4957AE9B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可叠加规则、证据、审计和人工复核状态。</w:t>
            </w:r>
          </w:p>
        </w:tc>
      </w:tr>
      <w:tr w:rsidR="007D35A3" w14:paraId="58734F3E" w14:textId="77777777">
        <w:tc>
          <w:tcPr>
            <w:tcW w:w="1600" w:type="dxa"/>
          </w:tcPr>
          <w:p w14:paraId="7459B226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Simulator</w:t>
            </w:r>
          </w:p>
        </w:tc>
        <w:tc>
          <w:tcPr>
            <w:tcW w:w="3100" w:type="dxa"/>
          </w:tcPr>
          <w:p w14:paraId="3014496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学习或构建</w:t>
            </w:r>
            <w:r>
              <w:rPr>
                <w:sz w:val="18"/>
                <w:szCs w:val="18"/>
              </w:rPr>
              <w:t xml:space="preserve"> action/constraint/scenario </w:t>
            </w:r>
            <w:r>
              <w:rPr>
                <w:sz w:val="18"/>
                <w:szCs w:val="18"/>
              </w:rPr>
              <w:t>条件下的状态转移，输出未来状态、风险和不确定性。</w:t>
            </w:r>
          </w:p>
        </w:tc>
        <w:tc>
          <w:tcPr>
            <w:tcW w:w="2800" w:type="dxa"/>
          </w:tcPr>
          <w:p w14:paraId="1551AA8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多地类需求约束分配、变化定位、邻域效应、转移约束。</w:t>
            </w:r>
          </w:p>
        </w:tc>
        <w:tc>
          <w:tcPr>
            <w:tcW w:w="3000" w:type="dxa"/>
          </w:tcPr>
          <w:p w14:paraId="79088F6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可扩展到项目审批、规则风险、政策动作、空间因果校准。</w:t>
            </w:r>
          </w:p>
        </w:tc>
      </w:tr>
      <w:tr w:rsidR="007D35A3" w14:paraId="4ADE381D" w14:textId="77777777">
        <w:tc>
          <w:tcPr>
            <w:tcW w:w="1600" w:type="dxa"/>
          </w:tcPr>
          <w:p w14:paraId="5AB3E71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Planner</w:t>
            </w:r>
          </w:p>
        </w:tc>
        <w:tc>
          <w:tcPr>
            <w:tcW w:w="3100" w:type="dxa"/>
          </w:tcPr>
          <w:p w14:paraId="42B5814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在</w:t>
            </w:r>
            <w:r>
              <w:rPr>
                <w:sz w:val="18"/>
                <w:szCs w:val="18"/>
              </w:rPr>
              <w:t xml:space="preserve"> simulator </w:t>
            </w:r>
            <w:r>
              <w:rPr>
                <w:sz w:val="18"/>
                <w:szCs w:val="18"/>
              </w:rPr>
              <w:t>输出上生成和排序候选方案。</w:t>
            </w:r>
          </w:p>
        </w:tc>
        <w:tc>
          <w:tcPr>
            <w:tcW w:w="2800" w:type="dxa"/>
          </w:tcPr>
          <w:p w14:paraId="482E2AE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紧凑增长、耕地保护、交通可达性等情景方案。</w:t>
            </w:r>
          </w:p>
        </w:tc>
        <w:tc>
          <w:tcPr>
            <w:tcW w:w="3000" w:type="dxa"/>
          </w:tcPr>
          <w:p w14:paraId="2E31E300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不是只给一张未来图，而是给方案排序、理由、风险和审计边界。</w:t>
            </w:r>
          </w:p>
        </w:tc>
      </w:tr>
      <w:tr w:rsidR="007D35A3" w14:paraId="25DA7100" w14:textId="77777777">
        <w:tc>
          <w:tcPr>
            <w:tcW w:w="1600" w:type="dxa"/>
          </w:tcPr>
          <w:p w14:paraId="4A1B847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Evidence gate</w:t>
            </w:r>
          </w:p>
        </w:tc>
        <w:tc>
          <w:tcPr>
            <w:tcW w:w="3100" w:type="dxa"/>
          </w:tcPr>
          <w:p w14:paraId="1CB540C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对数据来源、训练口径、是否使用</w:t>
            </w:r>
            <w:r>
              <w:rPr>
                <w:sz w:val="18"/>
                <w:szCs w:val="18"/>
              </w:rPr>
              <w:t xml:space="preserve"> holdout</w:t>
            </w:r>
            <w:r>
              <w:rPr>
                <w:sz w:val="18"/>
                <w:szCs w:val="18"/>
              </w:rPr>
              <w:t>、是否使用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概率图进行边界标记。</w:t>
            </w:r>
          </w:p>
        </w:tc>
        <w:tc>
          <w:tcPr>
            <w:tcW w:w="2800" w:type="dxa"/>
          </w:tcPr>
          <w:p w14:paraId="708264E2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防止把上限诊断或融合候选误报为独立模型优势。</w:t>
            </w:r>
          </w:p>
        </w:tc>
        <w:tc>
          <w:tcPr>
            <w:tcW w:w="3000" w:type="dxa"/>
          </w:tcPr>
          <w:p w14:paraId="55652F7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使技术结论可给导师、客户和领导复核。</w:t>
            </w:r>
          </w:p>
        </w:tc>
      </w:tr>
    </w:tbl>
    <w:p w14:paraId="482DCA24" w14:textId="77777777" w:rsidR="007D35A3" w:rsidRDefault="007D35A3">
      <w:pPr>
        <w:spacing w:after="80"/>
      </w:pPr>
    </w:p>
    <w:p w14:paraId="1FB0A950" w14:textId="3D313C39" w:rsidR="007D35A3" w:rsidRDefault="00000000">
      <w:pPr>
        <w:pStyle w:val="1"/>
        <w:spacing w:after="100"/>
      </w:pPr>
      <w:r>
        <w:t>九、建议表述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10206"/>
      </w:tblGrid>
      <w:tr w:rsidR="00000EA0" w14:paraId="096C0EE7" w14:textId="77777777" w:rsidTr="00000EA0">
        <w:tc>
          <w:tcPr>
            <w:tcW w:w="10206" w:type="dxa"/>
            <w:shd w:val="clear" w:color="auto" w:fill="E8EEF7"/>
          </w:tcPr>
          <w:p w14:paraId="0373B825" w14:textId="77777777" w:rsidR="00000EA0" w:rsidRDefault="00000EA0">
            <w:pPr>
              <w:spacing w:after="40"/>
            </w:pPr>
            <w:r>
              <w:rPr>
                <w:b/>
                <w:sz w:val="18"/>
                <w:szCs w:val="18"/>
              </w:rPr>
              <w:t>建议说法</w:t>
            </w:r>
          </w:p>
        </w:tc>
      </w:tr>
      <w:tr w:rsidR="00000EA0" w14:paraId="7DFCC07E" w14:textId="77777777" w:rsidTr="00000EA0">
        <w:tc>
          <w:tcPr>
            <w:tcW w:w="10206" w:type="dxa"/>
          </w:tcPr>
          <w:p w14:paraId="2184C816" w14:textId="77777777" w:rsidR="00000EA0" w:rsidRDefault="00000EA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不是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的简单替代，而是把土地利用模拟扩展到国土空间治理</w:t>
            </w:r>
            <w:r>
              <w:rPr>
                <w:sz w:val="18"/>
                <w:szCs w:val="18"/>
              </w:rPr>
              <w:t xml:space="preserve"> world model</w:t>
            </w:r>
            <w:r>
              <w:rPr>
                <w:sz w:val="18"/>
                <w:szCs w:val="18"/>
              </w:rPr>
              <w:t>。当前证据显示，</w:t>
            </w: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能在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型样例上同案运行并在</w:t>
            </w:r>
            <w:r>
              <w:rPr>
                <w:sz w:val="18"/>
                <w:szCs w:val="18"/>
              </w:rPr>
              <w:t xml:space="preserve"> Change </w:t>
            </w:r>
            <w:proofErr w:type="spellStart"/>
            <w:r>
              <w:rPr>
                <w:sz w:val="18"/>
                <w:szCs w:val="18"/>
              </w:rPr>
              <w:t>FoM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上取得部分进展，但</w:t>
            </w:r>
            <w:r>
              <w:rPr>
                <w:sz w:val="18"/>
                <w:szCs w:val="18"/>
              </w:rPr>
              <w:t xml:space="preserve"> OA/Kappa</w:t>
            </w:r>
            <w:r>
              <w:rPr>
                <w:sz w:val="18"/>
                <w:szCs w:val="18"/>
              </w:rPr>
              <w:t>、多案例泛化和因果业务数据仍需补强。</w:t>
            </w:r>
          </w:p>
        </w:tc>
      </w:tr>
      <w:tr w:rsidR="00000EA0" w14:paraId="246AE4AB" w14:textId="77777777" w:rsidTr="00000EA0">
        <w:tc>
          <w:tcPr>
            <w:tcW w:w="10206" w:type="dxa"/>
          </w:tcPr>
          <w:p w14:paraId="733DC992" w14:textId="77777777" w:rsidR="00000EA0" w:rsidRDefault="00000EA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可以覆盖传统土地利用模拟，并进一步支持规则约束、方案比选、证据审计和人工复核。当前样例证明技术链条能跑通，但生产部署还需要接入客户真实规划、审批、监管和证据数据。</w:t>
            </w:r>
          </w:p>
        </w:tc>
      </w:tr>
      <w:tr w:rsidR="00000EA0" w14:paraId="77FB968D" w14:textId="77777777" w:rsidTr="00000EA0">
        <w:tc>
          <w:tcPr>
            <w:tcW w:w="10206" w:type="dxa"/>
          </w:tcPr>
          <w:p w14:paraId="4C3A69D9" w14:textId="77777777" w:rsidR="00000EA0" w:rsidRDefault="00000EA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的价值不在替代单个</w:t>
            </w:r>
            <w:r>
              <w:rPr>
                <w:sz w:val="18"/>
                <w:szCs w:val="18"/>
              </w:rPr>
              <w:t xml:space="preserve"> FLUS </w:t>
            </w:r>
            <w:r>
              <w:rPr>
                <w:sz w:val="18"/>
                <w:szCs w:val="18"/>
              </w:rPr>
              <w:t>工具，而在把模拟、规划、审计和自然资源业务闭环统一为平台能力。当前已经形成可演示、可复验的同案对比结果，下一步应投入真实业务数据和多区域验证。</w:t>
            </w:r>
          </w:p>
        </w:tc>
      </w:tr>
    </w:tbl>
    <w:p w14:paraId="09CB8E92" w14:textId="77777777" w:rsidR="007D35A3" w:rsidRDefault="007D35A3">
      <w:pPr>
        <w:spacing w:after="80"/>
      </w:pPr>
    </w:p>
    <w:p w14:paraId="6129275E" w14:textId="77777777" w:rsidR="007D35A3" w:rsidRDefault="00000000">
      <w:pPr>
        <w:pStyle w:val="1"/>
        <w:spacing w:after="100"/>
      </w:pPr>
      <w:r>
        <w:t>十、风险边界与下一步</w:t>
      </w:r>
    </w:p>
    <w:p w14:paraId="02D82110" w14:textId="77777777" w:rsidR="007D35A3" w:rsidRDefault="00000000">
      <w:pPr>
        <w:pStyle w:val="a5"/>
        <w:spacing w:after="80"/>
      </w:pPr>
      <w:r>
        <w:t>补直接</w:t>
      </w:r>
      <w:r>
        <w:t xml:space="preserve"> FLUS-console </w:t>
      </w:r>
      <w:r>
        <w:t>复现实验：当前把包内</w:t>
      </w:r>
      <w:r>
        <w:t xml:space="preserve"> </w:t>
      </w:r>
      <w:proofErr w:type="spellStart"/>
      <w:r>
        <w:t>simulationResult</w:t>
      </w:r>
      <w:proofErr w:type="spellEnd"/>
      <w:r>
        <w:t xml:space="preserve"> </w:t>
      </w:r>
      <w:r>
        <w:t>作为官方样例输出，后续应在可控环境中直接运行</w:t>
      </w:r>
      <w:r>
        <w:t xml:space="preserve"> FLUS console </w:t>
      </w:r>
      <w:r>
        <w:t>复现。</w:t>
      </w:r>
    </w:p>
    <w:p w14:paraId="3879031B" w14:textId="77777777" w:rsidR="007D35A3" w:rsidRDefault="00000000">
      <w:pPr>
        <w:pStyle w:val="a5"/>
        <w:spacing w:after="80"/>
      </w:pPr>
      <w:r>
        <w:t>扩大样本：至少增加多城市、多时期、多随机种子或多情景验证，避免单样例结论。</w:t>
      </w:r>
    </w:p>
    <w:p w14:paraId="157907AB" w14:textId="77777777" w:rsidR="007D35A3" w:rsidRDefault="00000000">
      <w:pPr>
        <w:pStyle w:val="a5"/>
        <w:spacing w:after="80"/>
      </w:pPr>
      <w:r>
        <w:t>训练独立</w:t>
      </w:r>
      <w:r>
        <w:t xml:space="preserve"> TWM suitability/dynamics</w:t>
      </w:r>
      <w:r>
        <w:t>：继续减少对</w:t>
      </w:r>
      <w:r>
        <w:t xml:space="preserve"> FLUS </w:t>
      </w:r>
      <w:r>
        <w:t>概率图的依赖，强化道路、人口、政策、经济活动等驱动因子。</w:t>
      </w:r>
    </w:p>
    <w:p w14:paraId="5F27E1F8" w14:textId="77777777" w:rsidR="007D35A3" w:rsidRDefault="00000000">
      <w:pPr>
        <w:pStyle w:val="a5"/>
        <w:spacing w:after="80"/>
      </w:pPr>
      <w:r>
        <w:t>建立独立</w:t>
      </w:r>
      <w:r>
        <w:t xml:space="preserve"> demand/scenario </w:t>
      </w:r>
      <w:r>
        <w:t>模型：避免把类别总量外推误差和模拟器空间分配能力混在一起。</w:t>
      </w:r>
    </w:p>
    <w:p w14:paraId="1814BF70" w14:textId="77777777" w:rsidR="007D35A3" w:rsidRDefault="00000000">
      <w:pPr>
        <w:pStyle w:val="a5"/>
        <w:spacing w:after="80"/>
      </w:pPr>
      <w:r>
        <w:t>接入真实治理数据：项目边界、规划分区、审批记录、规则命中、证据链、复核结果等是</w:t>
      </w:r>
      <w:r>
        <w:t xml:space="preserve"> TWM </w:t>
      </w:r>
      <w:r>
        <w:t>超出</w:t>
      </w:r>
      <w:r>
        <w:t xml:space="preserve"> FLUS </w:t>
      </w:r>
      <w:r>
        <w:t>的核心证据来源。</w:t>
      </w:r>
    </w:p>
    <w:p w14:paraId="6F00E514" w14:textId="77777777" w:rsidR="007D35A3" w:rsidRDefault="00000000">
      <w:pPr>
        <w:pStyle w:val="a5"/>
        <w:spacing w:after="80"/>
      </w:pPr>
      <w:r>
        <w:t>形成可发表研究问题：不要泛泛说</w:t>
      </w:r>
      <w:r>
        <w:t>“</w:t>
      </w:r>
      <w:r>
        <w:t>世界模型更先进</w:t>
      </w:r>
      <w:r>
        <w:t>”</w:t>
      </w:r>
      <w:r>
        <w:t>，应聚焦</w:t>
      </w:r>
      <w:r>
        <w:t>“</w:t>
      </w:r>
      <w:r>
        <w:t>治理证据约束下的</w:t>
      </w:r>
      <w:r>
        <w:t xml:space="preserve"> action-conditioned geospatial world model </w:t>
      </w:r>
      <w:r>
        <w:t>是否优于传统模拟</w:t>
      </w:r>
      <w:r>
        <w:t>/</w:t>
      </w:r>
      <w:r>
        <w:t>规则</w:t>
      </w:r>
      <w:r>
        <w:t>/</w:t>
      </w:r>
      <w:r>
        <w:t>优化分离流程</w:t>
      </w:r>
      <w:r>
        <w:t>”</w:t>
      </w:r>
      <w:r>
        <w:t>。</w:t>
      </w:r>
    </w:p>
    <w:p w14:paraId="106135B7" w14:textId="77777777" w:rsidR="007D35A3" w:rsidRDefault="00000000">
      <w:pPr>
        <w:pStyle w:val="1"/>
        <w:spacing w:after="100"/>
      </w:pPr>
      <w:r>
        <w:t>十一、最终判断</w:t>
      </w:r>
    </w:p>
    <w:p w14:paraId="7C567449" w14:textId="77777777" w:rsidR="007D35A3" w:rsidRDefault="00000000">
      <w:r>
        <w:rPr>
          <w:b/>
          <w:color w:val="1F4E79"/>
        </w:rPr>
        <w:t>可以这样理解：</w:t>
      </w:r>
      <w:r>
        <w:rPr>
          <w:b/>
          <w:color w:val="1F4E79"/>
        </w:rPr>
        <w:t xml:space="preserve">GeoSOS-FLUS </w:t>
      </w:r>
      <w:r>
        <w:rPr>
          <w:b/>
          <w:color w:val="1F4E79"/>
        </w:rPr>
        <w:t>是土地利用变化模拟领域的成熟工具；</w:t>
      </w:r>
      <w:r>
        <w:rPr>
          <w:b/>
          <w:color w:val="1F4E79"/>
        </w:rPr>
        <w:t xml:space="preserve">TWM </w:t>
      </w:r>
      <w:r>
        <w:rPr>
          <w:b/>
          <w:color w:val="1F4E79"/>
        </w:rPr>
        <w:t>是面向国土空间治理的更大架构。</w:t>
      </w:r>
      <w:r>
        <w:rPr>
          <w:b/>
          <w:color w:val="1F4E79"/>
        </w:rPr>
        <w:t xml:space="preserve">TWM </w:t>
      </w:r>
      <w:r>
        <w:rPr>
          <w:b/>
          <w:color w:val="1F4E79"/>
        </w:rPr>
        <w:t>覆盖</w:t>
      </w:r>
      <w:r>
        <w:rPr>
          <w:b/>
          <w:color w:val="1F4E79"/>
        </w:rPr>
        <w:t xml:space="preserve"> FLUS </w:t>
      </w:r>
      <w:r>
        <w:rPr>
          <w:b/>
          <w:color w:val="1F4E79"/>
        </w:rPr>
        <w:t>类型问题是合理的，因为土地利用模拟可以作为</w:t>
      </w:r>
      <w:r>
        <w:rPr>
          <w:b/>
          <w:color w:val="1F4E79"/>
        </w:rPr>
        <w:t xml:space="preserve"> TWM simulator </w:t>
      </w:r>
      <w:r>
        <w:rPr>
          <w:b/>
          <w:color w:val="1F4E79"/>
        </w:rPr>
        <w:t>的一个子任务。但当前最严谨的结论不是</w:t>
      </w:r>
      <w:r>
        <w:rPr>
          <w:b/>
          <w:color w:val="1F4E79"/>
        </w:rPr>
        <w:t xml:space="preserve">“TWM </w:t>
      </w:r>
      <w:r>
        <w:rPr>
          <w:b/>
          <w:color w:val="1F4E79"/>
        </w:rPr>
        <w:t>已经全面打败</w:t>
      </w:r>
      <w:r>
        <w:rPr>
          <w:b/>
          <w:color w:val="1F4E79"/>
        </w:rPr>
        <w:t xml:space="preserve"> FLUS”</w:t>
      </w:r>
      <w:r>
        <w:rPr>
          <w:b/>
          <w:color w:val="1F4E79"/>
        </w:rPr>
        <w:t>，而是：</w:t>
      </w:r>
      <w:r>
        <w:rPr>
          <w:b/>
          <w:color w:val="1F4E79"/>
        </w:rPr>
        <w:t xml:space="preserve">TWM </w:t>
      </w:r>
      <w:r>
        <w:rPr>
          <w:b/>
          <w:color w:val="1F4E79"/>
        </w:rPr>
        <w:t>已在</w:t>
      </w:r>
      <w:r>
        <w:rPr>
          <w:b/>
          <w:color w:val="1F4E79"/>
        </w:rPr>
        <w:t xml:space="preserve"> FLUS </w:t>
      </w:r>
      <w:r>
        <w:rPr>
          <w:b/>
          <w:color w:val="1F4E79"/>
        </w:rPr>
        <w:t>官方样例和公开多区域数据上证明了同案模拟、指标对比和规划排序能力，并在变化定位指标上出现积极信号；全面替代或超越结论仍需要多案例、独立</w:t>
      </w:r>
      <w:r>
        <w:rPr>
          <w:b/>
          <w:color w:val="1F4E79"/>
        </w:rPr>
        <w:t xml:space="preserve"> dynamics</w:t>
      </w:r>
      <w:r>
        <w:rPr>
          <w:b/>
          <w:color w:val="1F4E79"/>
        </w:rPr>
        <w:t>、直接</w:t>
      </w:r>
      <w:r>
        <w:rPr>
          <w:b/>
          <w:color w:val="1F4E79"/>
        </w:rPr>
        <w:t xml:space="preserve"> FLUS </w:t>
      </w:r>
      <w:r>
        <w:rPr>
          <w:b/>
          <w:color w:val="1F4E79"/>
        </w:rPr>
        <w:t>复现和真实治理数据支撑。</w:t>
      </w:r>
    </w:p>
    <w:p w14:paraId="1BB80750" w14:textId="77777777" w:rsidR="007D35A3" w:rsidRDefault="00000000">
      <w:pPr>
        <w:pStyle w:val="1"/>
        <w:spacing w:after="100"/>
      </w:pPr>
      <w:r>
        <w:lastRenderedPageBreak/>
        <w:t>附录：本报告使用的本地证据文件</w:t>
      </w:r>
    </w:p>
    <w:tbl>
      <w:tblPr>
        <w:tblStyle w:val="a6"/>
        <w:tblW w:w="0" w:type="auto"/>
        <w:tblInd w:w="80" w:type="dxa"/>
        <w:tblLook w:val="04A0" w:firstRow="1" w:lastRow="0" w:firstColumn="1" w:lastColumn="0" w:noHBand="0" w:noVBand="1"/>
      </w:tblPr>
      <w:tblGrid>
        <w:gridCol w:w="2754"/>
        <w:gridCol w:w="7532"/>
      </w:tblGrid>
      <w:tr w:rsidR="007D35A3" w14:paraId="231516EC" w14:textId="77777777">
        <w:tc>
          <w:tcPr>
            <w:tcW w:w="2800" w:type="dxa"/>
            <w:shd w:val="clear" w:color="auto" w:fill="E8EEF7"/>
          </w:tcPr>
          <w:p w14:paraId="7DFD4606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类别</w:t>
            </w:r>
          </w:p>
        </w:tc>
        <w:tc>
          <w:tcPr>
            <w:tcW w:w="7600" w:type="dxa"/>
            <w:shd w:val="clear" w:color="auto" w:fill="E8EEF7"/>
          </w:tcPr>
          <w:p w14:paraId="78745CB2" w14:textId="77777777" w:rsidR="007D35A3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路径</w:t>
            </w:r>
          </w:p>
        </w:tc>
      </w:tr>
      <w:tr w:rsidR="007D35A3" w14:paraId="00846C8F" w14:textId="77777777">
        <w:tc>
          <w:tcPr>
            <w:tcW w:w="2800" w:type="dxa"/>
          </w:tcPr>
          <w:p w14:paraId="7B1D11C1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FLUS V2.4 </w:t>
            </w:r>
            <w:r>
              <w:rPr>
                <w:sz w:val="18"/>
                <w:szCs w:val="18"/>
              </w:rPr>
              <w:t>同案报告</w:t>
            </w:r>
          </w:p>
        </w:tc>
        <w:tc>
          <w:tcPr>
            <w:tcW w:w="7600" w:type="dxa"/>
          </w:tcPr>
          <w:p w14:paraId="253F17E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docs/reports/twm_flus_v24_simopt_2026-06-22.json</w:t>
            </w:r>
          </w:p>
        </w:tc>
      </w:tr>
      <w:tr w:rsidR="007D35A3" w14:paraId="58B7A047" w14:textId="77777777">
        <w:tc>
          <w:tcPr>
            <w:tcW w:w="2800" w:type="dxa"/>
          </w:tcPr>
          <w:p w14:paraId="73455E8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FLUS V2.4 </w:t>
            </w:r>
            <w:r>
              <w:rPr>
                <w:sz w:val="18"/>
                <w:szCs w:val="18"/>
              </w:rPr>
              <w:t>图文报告</w:t>
            </w:r>
          </w:p>
        </w:tc>
        <w:tc>
          <w:tcPr>
            <w:tcW w:w="7600" w:type="dxa"/>
          </w:tcPr>
          <w:p w14:paraId="47490E55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docs/twm-flus-v24-simulation-optimization-2026-06-22.md</w:t>
            </w:r>
          </w:p>
        </w:tc>
      </w:tr>
      <w:tr w:rsidR="007D35A3" w14:paraId="68DF5988" w14:textId="77777777">
        <w:tc>
          <w:tcPr>
            <w:tcW w:w="2800" w:type="dxa"/>
          </w:tcPr>
          <w:p w14:paraId="178CB5FD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Dynamic World admin20 </w:t>
            </w:r>
            <w:r>
              <w:rPr>
                <w:sz w:val="18"/>
                <w:szCs w:val="18"/>
              </w:rPr>
              <w:t>报告</w:t>
            </w:r>
          </w:p>
        </w:tc>
        <w:tc>
          <w:tcPr>
            <w:tcW w:w="7600" w:type="dxa"/>
          </w:tcPr>
          <w:p w14:paraId="0C2E577F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docs/reports/twm_dynamic_world_admin20_benchmark_2026-06-22.json</w:t>
            </w:r>
          </w:p>
        </w:tc>
      </w:tr>
      <w:tr w:rsidR="007D35A3" w14:paraId="1E3BCC94" w14:textId="77777777">
        <w:tc>
          <w:tcPr>
            <w:tcW w:w="2800" w:type="dxa"/>
          </w:tcPr>
          <w:p w14:paraId="5B7AB1A9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Dynamic World </w:t>
            </w:r>
            <w:r>
              <w:rPr>
                <w:sz w:val="18"/>
                <w:szCs w:val="18"/>
              </w:rPr>
              <w:t>图文报告</w:t>
            </w:r>
          </w:p>
        </w:tc>
        <w:tc>
          <w:tcPr>
            <w:tcW w:w="7600" w:type="dxa"/>
          </w:tcPr>
          <w:p w14:paraId="0CFE98E2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docs/twm-dynamic-world-admin20-benchmark-2026-06-22.md</w:t>
            </w:r>
          </w:p>
        </w:tc>
      </w:tr>
      <w:tr w:rsidR="007D35A3" w14:paraId="3BBC53AD" w14:textId="77777777">
        <w:tc>
          <w:tcPr>
            <w:tcW w:w="2800" w:type="dxa"/>
          </w:tcPr>
          <w:p w14:paraId="7723FF43" w14:textId="77777777" w:rsidR="007D35A3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DongGuan</w:t>
            </w:r>
            <w:proofErr w:type="spellEnd"/>
            <w:r>
              <w:rPr>
                <w:sz w:val="18"/>
                <w:szCs w:val="18"/>
              </w:rPr>
              <w:t xml:space="preserve"> independent dynamics </w:t>
            </w:r>
            <w:r>
              <w:rPr>
                <w:sz w:val="18"/>
                <w:szCs w:val="18"/>
              </w:rPr>
              <w:t>报告</w:t>
            </w:r>
          </w:p>
        </w:tc>
        <w:tc>
          <w:tcPr>
            <w:tcW w:w="7600" w:type="dxa"/>
          </w:tcPr>
          <w:p w14:paraId="3B04A1B4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docs/reports/twm_dongguan_independent_dynamics_2026-06-22.json</w:t>
            </w:r>
          </w:p>
        </w:tc>
      </w:tr>
      <w:tr w:rsidR="007D35A3" w14:paraId="1BE04E15" w14:textId="77777777">
        <w:tc>
          <w:tcPr>
            <w:tcW w:w="2800" w:type="dxa"/>
          </w:tcPr>
          <w:p w14:paraId="42E2F328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TWM </w:t>
            </w:r>
            <w:r>
              <w:rPr>
                <w:sz w:val="18"/>
                <w:szCs w:val="18"/>
              </w:rPr>
              <w:t>渲染器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模拟器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规划器技术说明</w:t>
            </w:r>
          </w:p>
        </w:tc>
        <w:tc>
          <w:tcPr>
            <w:tcW w:w="7600" w:type="dxa"/>
          </w:tcPr>
          <w:p w14:paraId="1797212C" w14:textId="77777777" w:rsidR="007D35A3" w:rsidRDefault="00000000">
            <w:pPr>
              <w:spacing w:after="40"/>
            </w:pPr>
            <w:r>
              <w:rPr>
                <w:sz w:val="18"/>
                <w:szCs w:val="18"/>
              </w:rPr>
              <w:t>docs/twm-renderer-simulator-planner-technical-core.md</w:t>
            </w:r>
          </w:p>
        </w:tc>
      </w:tr>
    </w:tbl>
    <w:p w14:paraId="07203ED8" w14:textId="77777777" w:rsidR="007D35A3" w:rsidRDefault="007D35A3">
      <w:pPr>
        <w:spacing w:after="80"/>
      </w:pPr>
    </w:p>
    <w:sectPr w:rsidR="007D35A3">
      <w:pgSz w:w="11906" w:h="16838"/>
      <w:pgMar w:top="1134" w:right="850" w:bottom="1134" w:left="85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5A3"/>
    <w:rsid w:val="00000EA0"/>
    <w:rsid w:val="007D35A3"/>
    <w:rsid w:val="00F2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04752"/>
  <w15:docId w15:val="{3EC88A44-6752-4342-96BE-6A0FB54A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60"/>
      <w:outlineLvl w:val="0"/>
    </w:pPr>
    <w:rPr>
      <w:b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80" w:after="100"/>
      <w:outlineLvl w:val="1"/>
    </w:pPr>
    <w:rPr>
      <w:b/>
      <w:color w:val="2F5597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80"/>
      <w:outlineLvl w:val="2"/>
    </w:pPr>
    <w:rPr>
      <w:b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color w:val="1F4E79"/>
      <w:sz w:val="40"/>
      <w:szCs w:val="40"/>
    </w:rPr>
  </w:style>
  <w:style w:type="paragraph" w:styleId="a4">
    <w:name w:val="List Bullet"/>
    <w:basedOn w:val="a"/>
    <w:pPr>
      <w:ind w:left="420" w:hanging="220"/>
    </w:pPr>
    <w:rPr>
      <w:rFonts w:eastAsia="Microsoft YaHei"/>
    </w:rPr>
  </w:style>
  <w:style w:type="paragraph" w:styleId="a5">
    <w:name w:val="List Number"/>
    <w:basedOn w:val="a"/>
    <w:pPr>
      <w:ind w:left="420" w:hanging="220"/>
    </w:pPr>
  </w:style>
  <w:style w:type="table" w:styleId="a6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宁 周</cp:lastModifiedBy>
  <cp:revision>2</cp:revision>
  <dcterms:created xsi:type="dcterms:W3CDTF">2026-06-22T22:48:00Z</dcterms:created>
  <dcterms:modified xsi:type="dcterms:W3CDTF">2026-06-22T22:54:00Z</dcterms:modified>
</cp:coreProperties>
</file>