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Evidence-Gated GeoFM Representation for Farmland Layout Optimization</w:t>
      </w:r>
    </w:p>
    <w:bookmarkStart w:id="31" w:name="X272b0c1106d4f1db76906913651456113a8c418"/>
    <w:p>
      <w:pPr>
        <w:pStyle w:val="Heading1"/>
      </w:pPr>
      <w:r>
        <w:t xml:space="preserve">Evidence-Gated GeoFM Representation for Farmland Layout Optimization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Evidence-gated rejection of unsupported GeoFM superiority in reinforcement-learning farmland layout optimization</w:t>
      </w:r>
    </w:p>
    <w:bookmarkEnd w:id="9"/>
    <w:bookmarkStart w:id="10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Evidence-gated GeoFM planning</w:t>
      </w:r>
    </w:p>
    <w:bookmarkEnd w:id="10"/>
    <w:bookmarkStart w:id="11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Geospatial foundation model; AlphaEarth embeddings; farmland layout</w:t>
      </w:r>
      <w:r>
        <w:t xml:space="preserve"> </w:t>
      </w:r>
      <w:r>
        <w:t xml:space="preserve">optimization; reinforcement learning; suitability proxy; representation</w:t>
      </w:r>
      <w:r>
        <w:t xml:space="preserve"> </w:t>
      </w:r>
      <w:r>
        <w:t xml:space="preserve">control; evidence gate; land-use planning</w:t>
      </w:r>
    </w:p>
    <w:bookmarkEnd w:id="11"/>
    <w:bookmarkStart w:id="12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A reproducible workflow links AlphaEarth embeddings to real Bishan DLTB planning blocks.</w:t>
      </w:r>
    </w:p>
    <w:p>
      <w:pPr>
        <w:pStyle w:val="Compact"/>
        <w:numPr>
          <w:ilvl w:val="0"/>
          <w:numId w:val="1001"/>
        </w:numPr>
      </w:pPr>
      <w:r>
        <w:t xml:space="preserve">Tiled and padded policy interfaces make large real planning instances testable.</w:t>
      </w:r>
    </w:p>
    <w:p>
      <w:pPr>
        <w:pStyle w:val="Compact"/>
        <w:numPr>
          <w:ilvl w:val="0"/>
          <w:numId w:val="1001"/>
        </w:numPr>
      </w:pPr>
      <w:r>
        <w:t xml:space="preserve">Multi-tile B0/B1 learned-policy evidence does not support raw GeoFM superiority.</w:t>
      </w:r>
    </w:p>
    <w:p>
      <w:pPr>
        <w:pStyle w:val="Compact"/>
        <w:numPr>
          <w:ilvl w:val="0"/>
          <w:numId w:val="1001"/>
        </w:numPr>
      </w:pPr>
      <w:r>
        <w:t xml:space="preserve">Representation controls show that compressed GeoFM controls can exceed raw B1.</w:t>
      </w:r>
    </w:p>
    <w:p>
      <w:pPr>
        <w:pStyle w:val="Compact"/>
        <w:numPr>
          <w:ilvl w:val="0"/>
          <w:numId w:val="1001"/>
        </w:numPr>
      </w:pPr>
      <w:r>
        <w:t xml:space="preserve">Suitability-reward work is blocked until an independent non-leakage label gate passes.</w:t>
      </w:r>
    </w:p>
    <w:p>
      <w:pPr>
        <w:pStyle w:val="Compact"/>
        <w:numPr>
          <w:ilvl w:val="0"/>
          <w:numId w:val="1001"/>
        </w:numPr>
      </w:pPr>
      <w:r>
        <w:t xml:space="preserve">A local Phase 42 label-source audit finds no usable external suitability label for the real Bishan run.</w:t>
      </w:r>
    </w:p>
    <w:p>
      <w:pPr>
        <w:pStyle w:val="Compact"/>
        <w:numPr>
          <w:ilvl w:val="0"/>
          <w:numId w:val="1001"/>
        </w:numPr>
      </w:pPr>
      <w:r>
        <w:t xml:space="preserve">The evidence supports a bounded negative conclusion rather than a positive GeoFM-superiority claim.</w:t>
      </w:r>
    </w:p>
    <w:bookmarkEnd w:id="12"/>
    <w:bookmarkStart w:id="13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Farmland spatial layout optimization requires decisions over many heterogeneous</w:t>
      </w:r>
      <w:r>
        <w:t xml:space="preserve"> </w:t>
      </w:r>
      <w:r>
        <w:t xml:space="preserve">planning units, but direct variables for soil quality, irrigation, productivity,</w:t>
      </w:r>
      <w:r>
        <w:t xml:space="preserve"> </w:t>
      </w:r>
      <w:r>
        <w:t xml:space="preserve">and long-term suitability are often unavailable at operational planning scale.</w:t>
      </w:r>
      <w:r>
        <w:t xml:space="preserve"> </w:t>
      </w:r>
      <w:r>
        <w:t xml:space="preserve">Geospatial foundation-model (GeoFM) embeddings offer a possible source of</w:t>
      </w:r>
      <w:r>
        <w:t xml:space="preserve"> </w:t>
      </w:r>
      <w:r>
        <w:t xml:space="preserve">latent land-surface information, but their usefulness for reinforcement-learning</w:t>
      </w:r>
      <w:r>
        <w:t xml:space="preserve"> </w:t>
      </w:r>
      <w:r>
        <w:t xml:space="preserve">planning should not be assumed without representation controls, reward</w:t>
      </w:r>
      <w:r>
        <w:t xml:space="preserve"> </w:t>
      </w:r>
      <w:r>
        <w:t xml:space="preserve">validation, and leakage-aware suitability labels. This study builds a</w:t>
      </w:r>
      <w:r>
        <w:t xml:space="preserve"> </w:t>
      </w:r>
      <w:r>
        <w:t xml:space="preserve">reproducible evidence-gated workflow that aggregates AlphaEarth embeddings and</w:t>
      </w:r>
      <w:r>
        <w:t xml:space="preserve"> </w:t>
      </w:r>
      <w:r>
        <w:t xml:space="preserve">explicit planning features to real Bishan DLTB land-use blocks, constructs</w:t>
      </w:r>
      <w:r>
        <w:t xml:space="preserve"> </w:t>
      </w:r>
      <w:r>
        <w:t xml:space="preserve">tiled and padded planning interfaces, and evaluates whether GeoFM-enhanced</w:t>
      </w:r>
      <w:r>
        <w:t xml:space="preserve"> </w:t>
      </w:r>
      <w:r>
        <w:t xml:space="preserve">representations support learned farmland layout decisions under a deterministic</w:t>
      </w:r>
      <w:r>
        <w:t xml:space="preserve"> </w:t>
      </w:r>
      <w:r>
        <w:t xml:space="preserve">base planning reward. The current multi-tile, multi-seed held-out evidence does</w:t>
      </w:r>
      <w:r>
        <w:t xml:space="preserve"> </w:t>
      </w:r>
      <w:r>
        <w:t xml:space="preserve">not support a positive raw-GeoFM claim: at 4096 training steps, the learned</w:t>
      </w:r>
      <w:r>
        <w:t xml:space="preserve"> </w:t>
      </w:r>
      <w:r>
        <w:t xml:space="preserve">B1-B0 mean reward delta is</w:t>
      </w:r>
      <w:r>
        <w:t xml:space="preserve"> </w:t>
      </w:r>
      <w:r>
        <w:rPr>
          <w:rStyle w:val="VerbatimChar"/>
        </w:rPr>
        <w:t xml:space="preserve">-0.1318712688</w:t>
      </w:r>
      <w:r>
        <w:t xml:space="preserve">, with only</w:t>
      </w:r>
      <w:r>
        <w:t xml:space="preserve"> </w:t>
      </w:r>
      <w:r>
        <w:rPr>
          <w:rStyle w:val="VerbatimChar"/>
        </w:rPr>
        <w:t xml:space="preserve">3 / 9</w:t>
      </w:r>
      <w:r>
        <w:t xml:space="preserve"> </w:t>
      </w:r>
      <w:r>
        <w:t xml:space="preserve">held-out</w:t>
      </w:r>
      <w:r>
        <w:t xml:space="preserve"> </w:t>
      </w:r>
      <w:r>
        <w:t xml:space="preserve">tile-seed pairs favoring B1. Representation-control experiments also report</w:t>
      </w:r>
      <w:r>
        <w:t xml:space="preserve"> </w:t>
      </w:r>
      <w:r>
        <w:rPr>
          <w:rStyle w:val="VerbatimChar"/>
        </w:rPr>
        <w:t xml:space="preserve">compression_matches_raw</w:t>
      </w:r>
      <w:r>
        <w:t xml:space="preserve">, with PCA-compressed controls exceeding raw B1 in the</w:t>
      </w:r>
      <w:r>
        <w:t xml:space="preserve"> </w:t>
      </w:r>
      <w:r>
        <w:t xml:space="preserve">4096-step run. A normalized-B1 branch partially improves raw B1 at 4096 steps,</w:t>
      </w:r>
      <w:r>
        <w:t xml:space="preserve"> </w:t>
      </w:r>
      <w:r>
        <w:t xml:space="preserve">but a broader 5120-step matched robustness check reports</w:t>
      </w:r>
      <w:r>
        <w:t xml:space="preserve"> </w:t>
      </w:r>
      <w:r>
        <w:rPr>
          <w:rStyle w:val="VerbatimChar"/>
        </w:rPr>
        <w:t xml:space="preserve">budget_not_explanatory</w:t>
      </w:r>
      <w:r>
        <w:t xml:space="preserve">. Suitability-proxy validation remains more restrictive:</w:t>
      </w:r>
      <w:r>
        <w:t xml:space="preserve"> </w:t>
      </w:r>
      <w:r>
        <w:t xml:space="preserve">available weak labels are DLTB/slope-derived leakage risks, the scalar</w:t>
      </w:r>
      <w:r>
        <w:t xml:space="preserve"> </w:t>
      </w:r>
      <w:r>
        <w:rPr>
          <w:rStyle w:val="VerbatimChar"/>
        </w:rPr>
        <w:t xml:space="preserve">suitability_proxy</w:t>
      </w:r>
      <w:r>
        <w:t xml:space="preserve"> </w:t>
      </w:r>
      <w:r>
        <w:t xml:space="preserve">is not supported as a reward term, and the Phase 40</w:t>
      </w:r>
      <w:r>
        <w:t xml:space="preserve"> </w:t>
      </w:r>
      <w:r>
        <w:t xml:space="preserve">independent-label gate reports</w:t>
      </w:r>
      <w:r>
        <w:t xml:space="preserve"> </w:t>
      </w:r>
      <w:r>
        <w:rPr>
          <w:rStyle w:val="VerbatimChar"/>
        </w:rPr>
        <w:t xml:space="preserve">independent_label_inputs_missing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64,984</w:t>
      </w:r>
      <w:r>
        <w:t xml:space="preserve"> </w:t>
      </w:r>
      <w:r>
        <w:t xml:space="preserve">feature rows 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registry rows. Phase 41 implements the revised</w:t>
      </w:r>
      <w:r>
        <w:t xml:space="preserve"> </w:t>
      </w:r>
      <w:r>
        <w:t xml:space="preserve">GeoFM route as an independent-label-calibrated low-dimensional suitability</w:t>
      </w:r>
      <w:r>
        <w:t xml:space="preserve"> </w:t>
      </w:r>
      <w:r>
        <w:t xml:space="preserve">prior, but the real no-registry run still reports</w:t>
      </w:r>
      <w:r>
        <w:t xml:space="preserve"> </w:t>
      </w:r>
      <w:r>
        <w:rPr>
          <w:rStyle w:val="VerbatimChar"/>
        </w:rPr>
        <w:t xml:space="preserve">phase41_independent_label_inputs_missing</w:t>
      </w:r>
      <w:r>
        <w:t xml:space="preserve">. Phase 42 audits local candidate</w:t>
      </w:r>
      <w:r>
        <w:t xml:space="preserve"> </w:t>
      </w:r>
      <w:r>
        <w:t xml:space="preserve">label sources and finds that available DLTB/slope labels remain diagnostic-only</w:t>
      </w:r>
      <w:r>
        <w:t xml:space="preserve"> </w:t>
      </w:r>
      <w:r>
        <w:t xml:space="preserve">leakage-risk labels, while Paper10 and Paper58 labels are not Paper11 Bishan</w:t>
      </w:r>
      <w:r>
        <w:t xml:space="preserve"> </w:t>
      </w:r>
      <w:r>
        <w:t xml:space="preserve">suitability labels. These results reject the current positive Paper11</w:t>
      </w:r>
      <w:r>
        <w:t xml:space="preserve"> </w:t>
      </w:r>
      <w:r>
        <w:t xml:space="preserve">hypothesis under the tested protocol. The defensible conclusion is negative and</w:t>
      </w:r>
      <w:r>
        <w:t xml:space="preserve"> </w:t>
      </w:r>
      <w:r>
        <w:t xml:space="preserve">decision-level: B2/B3 suitability-reward experiments should not proceed until</w:t>
      </w:r>
      <w:r>
        <w:t xml:space="preserve"> </w:t>
      </w:r>
      <w:r>
        <w:t xml:space="preserve">an independent non-leakage label registry passes the gate and a leakage-aware</w:t>
      </w:r>
      <w:r>
        <w:t xml:space="preserve"> </w:t>
      </w:r>
      <w:r>
        <w:t xml:space="preserve">proxy rebuild clears control checks.</w:t>
      </w:r>
    </w:p>
    <w:bookmarkEnd w:id="13"/>
    <w:bookmarkStart w:id="14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Farmland layout optimization is not only a geometric consolidation problem. In</w:t>
      </w:r>
      <w:r>
        <w:t xml:space="preserve"> </w:t>
      </w:r>
      <w:r>
        <w:t xml:space="preserve">practical land-use planning, decisions about whether to retain, exchange, or</w:t>
      </w:r>
      <w:r>
        <w:t xml:space="preserve"> </w:t>
      </w:r>
      <w:r>
        <w:t xml:space="preserve">consolidate farmland depend on explicit spatial constraints as well as latent</w:t>
      </w:r>
      <w:r>
        <w:t xml:space="preserve"> </w:t>
      </w:r>
      <w:r>
        <w:t xml:space="preserve">environmental conditions that are difficult to observe comprehensively at the</w:t>
      </w:r>
      <w:r>
        <w:t xml:space="preserve"> </w:t>
      </w:r>
      <w:r>
        <w:t xml:space="preserve">planning-unit scale. Slope, contiguity, block area, adjacency, and fragmentation</w:t>
      </w:r>
      <w:r>
        <w:t xml:space="preserve"> </w:t>
      </w:r>
      <w:r>
        <w:t xml:space="preserve">can often be derived from GIS data, but variables related to irrigation,</w:t>
      </w:r>
      <w:r>
        <w:t xml:space="preserve"> </w:t>
      </w:r>
      <w:r>
        <w:t xml:space="preserve">soil quality, moisture, and productivity may be incomplete, unavailable, or</w:t>
      </w:r>
      <w:r>
        <w:t xml:space="preserve"> </w:t>
      </w:r>
      <w:r>
        <w:t xml:space="preserve">restricted.</w:t>
      </w:r>
    </w:p>
    <w:p>
      <w:pPr>
        <w:pStyle w:val="BodyText"/>
      </w:pPr>
      <w:r>
        <w:t xml:space="preserve">Geospatial foundation-model embeddings provide a tempting route around this</w:t>
      </w:r>
      <w:r>
        <w:t xml:space="preserve"> </w:t>
      </w:r>
      <w:r>
        <w:t xml:space="preserve">data gap. Multi-sensor satellite embedding products such as AlphaEarth can</w:t>
      </w:r>
      <w:r>
        <w:t xml:space="preserve"> </w:t>
      </w:r>
      <w:r>
        <w:t xml:space="preserve">encode broad land-surface context in compact feature vectors, and such vectors</w:t>
      </w:r>
      <w:r>
        <w:t xml:space="preserve"> </w:t>
      </w:r>
      <w:r>
        <w:t xml:space="preserve">may contain information relevant to farmland suitability. However, a remote-</w:t>
      </w:r>
      <w:r>
        <w:t xml:space="preserve"> </w:t>
      </w:r>
      <w:r>
        <w:t xml:space="preserve">sensing embedding is not a direct measurement of agronomic suitability. If a</w:t>
      </w:r>
      <w:r>
        <w:t xml:space="preserve"> </w:t>
      </w:r>
      <w:r>
        <w:t xml:space="preserve">planning model improves after adding GeoFM embeddings, the improvement may come</w:t>
      </w:r>
      <w:r>
        <w:t xml:space="preserve"> </w:t>
      </w:r>
      <w:r>
        <w:t xml:space="preserve">from meaningful environmental signal, from representation scale, from redundant</w:t>
      </w:r>
      <w:r>
        <w:t xml:space="preserve"> </w:t>
      </w:r>
      <w:r>
        <w:t xml:space="preserve">compression, from easier optimization geometry, or from leakage through labels</w:t>
      </w:r>
      <w:r>
        <w:t xml:space="preserve"> </w:t>
      </w:r>
      <w:r>
        <w:t xml:space="preserve">or features.</w:t>
      </w:r>
    </w:p>
    <w:p>
      <w:pPr>
        <w:pStyle w:val="BodyText"/>
      </w:pPr>
      <w:r>
        <w:t xml:space="preserve">Paper11 was designed to test this distinction rather than assume it. The</w:t>
      </w:r>
      <w:r>
        <w:t xml:space="preserve"> </w:t>
      </w:r>
      <w:r>
        <w:t xml:space="preserve">workflow links AlphaEarth embeddings to real Bishan DLTB land-use polygons,</w:t>
      </w:r>
      <w:r>
        <w:t xml:space="preserve"> </w:t>
      </w:r>
      <w:r>
        <w:t xml:space="preserve">constructs explicit-only and GeoFM-enhanced planning representations, and</w:t>
      </w:r>
      <w:r>
        <w:t xml:space="preserve"> </w:t>
      </w:r>
      <w:r>
        <w:t xml:space="preserve">evaluates learned policies under a deterministic base planning reward. It also</w:t>
      </w:r>
      <w:r>
        <w:t xml:space="preserve"> </w:t>
      </w:r>
      <w:r>
        <w:t xml:space="preserve">implements random, shuffled, compressed, normalized, suitability-proxy, and</w:t>
      </w:r>
      <w:r>
        <w:t xml:space="preserve"> </w:t>
      </w:r>
      <w:r>
        <w:t xml:space="preserve">independent-label gates so that each stronger manuscript claim must pass an</w:t>
      </w:r>
      <w:r>
        <w:t xml:space="preserve"> </w:t>
      </w:r>
      <w:r>
        <w:t xml:space="preserve">explicit evidence threshold.</w:t>
      </w:r>
    </w:p>
    <w:p>
      <w:pPr>
        <w:pStyle w:val="BodyText"/>
      </w:pPr>
      <w:r>
        <w:t xml:space="preserve">The current evidence rejects the original positive framing that GeoFM features improve farmland layout optimization in the tested Paper11 design. The strongest current contribution is a conclusion rather than a promise: under the completed evidence gates, the raw GeoFM representation is not a supported improvement, and suitability reward must not be used. This paper therefore frames the current Paper11 result as an evidence-gated negative finding.</w:t>
      </w:r>
    </w:p>
    <w:bookmarkEnd w:id="14"/>
    <w:bookmarkStart w:id="15" w:name="data-and-planning-units"/>
    <w:p>
      <w:pPr>
        <w:pStyle w:val="Heading2"/>
      </w:pPr>
      <w:r>
        <w:t xml:space="preserve">2. Data and Planning Units</w:t>
      </w:r>
    </w:p>
    <w:p>
      <w:pPr>
        <w:pStyle w:val="FirstParagraph"/>
      </w:pPr>
      <w:r>
        <w:t xml:space="preserve">The workflow uses real Bishan DLTB land-use polygons as planning units. The</w:t>
      </w:r>
      <w:r>
        <w:t xml:space="preserve"> </w:t>
      </w:r>
      <w:r>
        <w:t xml:space="preserve">Phase 11 adapter exports</w:t>
      </w:r>
      <w:r>
        <w:t xml:space="preserve"> </w:t>
      </w:r>
      <w:r>
        <w:rPr>
          <w:rStyle w:val="VerbatimChar"/>
        </w:rPr>
        <w:t xml:space="preserve">64,984</w:t>
      </w:r>
      <w:r>
        <w:t xml:space="preserve"> </w:t>
      </w:r>
      <w:r>
        <w:t xml:space="preserve">DLTB polygons into Phase 2-compatible block</w:t>
      </w:r>
      <w:r>
        <w:t xml:space="preserve"> </w:t>
      </w:r>
      <w:r>
        <w:t xml:space="preserve">feature tables. The feature pipeline aggregates AlphaEarth annual embeddings</w:t>
      </w:r>
      <w:r>
        <w:t xml:space="preserve"> </w:t>
      </w:r>
      <w:r>
        <w:t xml:space="preserve">to block-level representations and joins explicit planning attributes such as</w:t>
      </w:r>
      <w:r>
        <w:t xml:space="preserve"> </w:t>
      </w:r>
      <w:r>
        <w:t xml:space="preserve">slope- and land-use-derived variables where available.</w:t>
      </w:r>
    </w:p>
    <w:p>
      <w:pPr>
        <w:pStyle w:val="BodyText"/>
      </w:pPr>
      <w:r>
        <w:t xml:space="preserve">The repository includes lightweight sample AlphaEarth arrays for smoke tests,</w:t>
      </w:r>
      <w:r>
        <w:t xml:space="preserve"> </w:t>
      </w:r>
      <w:r>
        <w:t xml:space="preserve">while the full external Bishan DLTB-with-slope GeoPackage is documented as a</w:t>
      </w:r>
      <w:r>
        <w:t xml:space="preserve"> </w:t>
      </w:r>
      <w:r>
        <w:t xml:space="preserve">local external input and is not redistributed in ordinary Git. Generated real</w:t>
      </w:r>
      <w:r>
        <w:t xml:space="preserve"> </w:t>
      </w:r>
      <w:r>
        <w:t xml:space="preserve">outputs under</w:t>
      </w:r>
      <w:r>
        <w:t xml:space="preserve"> </w:t>
      </w:r>
      <w:r>
        <w:rPr>
          <w:rStyle w:val="VerbatimChar"/>
        </w:rPr>
        <w:t xml:space="preserve">experiments/**/outputs/</w:t>
      </w:r>
      <w:r>
        <w:t xml:space="preserve"> </w:t>
      </w:r>
      <w:r>
        <w:t xml:space="preserve">are ignored artifacts. The repository</w:t>
      </w:r>
      <w:r>
        <w:t xml:space="preserve"> </w:t>
      </w:r>
      <w:r>
        <w:t xml:space="preserve">therefore separates lightweight reviewer reproducibility from full local data</w:t>
      </w:r>
      <w:r>
        <w:t xml:space="preserve"> </w:t>
      </w:r>
      <w:r>
        <w:t xml:space="preserve">reconstruction.</w:t>
      </w:r>
    </w:p>
    <w:bookmarkEnd w:id="15"/>
    <w:bookmarkStart w:id="19" w:name="method"/>
    <w:p>
      <w:pPr>
        <w:pStyle w:val="Heading2"/>
      </w:pPr>
      <w:r>
        <w:t xml:space="preserve">3. Method</w:t>
      </w:r>
    </w:p>
    <w:bookmarkStart w:id="16" w:name="representation-families"/>
    <w:p>
      <w:pPr>
        <w:pStyle w:val="Heading3"/>
      </w:pPr>
      <w:r>
        <w:t xml:space="preserve">3.1 Representation Families</w:t>
      </w:r>
    </w:p>
    <w:p>
      <w:pPr>
        <w:pStyle w:val="FirstParagraph"/>
      </w:pPr>
      <w:r>
        <w:t xml:space="preserve">The core representation families are: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B0</w:t>
      </w:r>
      <w:r>
        <w:t xml:space="preserve">: explicit planning features with deterministic</w:t>
      </w:r>
      <w:r>
        <w:t xml:space="preserve"> </w:t>
      </w:r>
      <w:r>
        <w:rPr>
          <w:rStyle w:val="VerbatimChar"/>
        </w:rPr>
        <w:t xml:space="preserve">base_planning_reward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B1</w:t>
      </w:r>
      <w:r>
        <w:t xml:space="preserve">: explicit planning features plus raw 64-dimensional AlphaEarth or GeoFM embeddings;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D2</w:t>
      </w:r>
      <w:r>
        <w:t xml:space="preserve">: explicit planning features plus random 64-dimensional controls;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D3</w:t>
      </w:r>
      <w:r>
        <w:t xml:space="preserve">: explicit planning features plus shuffled AlphaEarth embeddings;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D4P8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D4P16</w:t>
      </w:r>
      <w:r>
        <w:t xml:space="preserve">: explicit planning features plus PCA-compressed AlphaEarth embeddings;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N1Z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N1ZR</w:t>
      </w:r>
      <w:r>
        <w:t xml:space="preserve">: normalized B1 variants used to test representation-scale effects;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B3</w:t>
      </w:r>
      <w:r>
        <w:t xml:space="preserve">: suitability-reward variants reserved for later use and not enabled in the current evidence.</w:t>
      </w:r>
    </w:p>
    <w:p>
      <w:pPr>
        <w:pStyle w:val="FirstParagraph"/>
      </w:pPr>
      <w:r>
        <w:t xml:space="preserve">This design separates three questions. First, can the planning environment and</w:t>
      </w:r>
      <w:r>
        <w:t xml:space="preserve"> </w:t>
      </w:r>
      <w:r>
        <w:t xml:space="preserve">policy interface operate on real planning units? Second, does adding raw GeoFM</w:t>
      </w:r>
      <w:r>
        <w:t xml:space="preserve"> </w:t>
      </w:r>
      <w:r>
        <w:t xml:space="preserve">information improve learned-policy decisions under the same deterministic base</w:t>
      </w:r>
      <w:r>
        <w:t xml:space="preserve"> </w:t>
      </w:r>
      <w:r>
        <w:t xml:space="preserve">reward? Third, is there validated suitability evidence strong enough to justify</w:t>
      </w:r>
      <w:r>
        <w:t xml:space="preserve"> </w:t>
      </w:r>
      <w:r>
        <w:t xml:space="preserve">adding a suitability reward? The current study answers the first question</w:t>
      </w:r>
      <w:r>
        <w:t xml:space="preserve"> </w:t>
      </w:r>
      <w:r>
        <w:t xml:space="preserve">positively and the second and third questions negatively under present inputs.</w:t>
      </w:r>
    </w:p>
    <w:bookmarkEnd w:id="16"/>
    <w:bookmarkStart w:id="17" w:name="planning-reward-and-policy-interface"/>
    <w:p>
      <w:pPr>
        <w:pStyle w:val="Heading3"/>
      </w:pPr>
      <w:r>
        <w:t xml:space="preserve">3.2 Planning Reward and Policy Interface</w:t>
      </w:r>
    </w:p>
    <w:p>
      <w:pPr>
        <w:pStyle w:val="FirstParagraph"/>
      </w:pPr>
      <w:r>
        <w:t xml:space="preserve">The current learned-policy experiments use a deterministic</w:t>
      </w:r>
      <w:r>
        <w:t xml:space="preserve"> </w:t>
      </w:r>
      <w:r>
        <w:rPr>
          <w:rStyle w:val="VerbatimChar"/>
        </w:rPr>
        <w:t xml:space="preserve">base_planning_reward</w:t>
      </w:r>
      <w:r>
        <w:t xml:space="preserve">.</w:t>
      </w:r>
      <w:r>
        <w:t xml:space="preserve"> </w:t>
      </w:r>
      <w:r>
        <w:t xml:space="preserve">This reward encodes explicit planning logic such as slope, contiguity,</w:t>
      </w:r>
      <w:r>
        <w:t xml:space="preserve"> </w:t>
      </w:r>
      <w:r>
        <w:t xml:space="preserve">baimu-fang-style consolidation, action validity, and related planning</w:t>
      </w:r>
      <w:r>
        <w:t xml:space="preserve"> </w:t>
      </w:r>
      <w:r>
        <w:t xml:space="preserve">constraints. It deliberately excludes suitability reward because the suitability</w:t>
      </w:r>
      <w:r>
        <w:t xml:space="preserve"> </w:t>
      </w:r>
      <w:r>
        <w:t xml:space="preserve">proxy has not passed the evidence gates required for reward integration.</w:t>
      </w:r>
    </w:p>
    <w:p>
      <w:pPr>
        <w:pStyle w:val="BodyText"/>
      </w:pPr>
      <w:r>
        <w:t xml:space="preserve">Early flat observation/action interfaces were tile-size-specific and could not</w:t>
      </w:r>
      <w:r>
        <w:t xml:space="preserve"> </w:t>
      </w:r>
      <w:r>
        <w:t xml:space="preserve">support learned-policy evaluation across variable-size held-out tiles. Later</w:t>
      </w:r>
      <w:r>
        <w:t xml:space="preserve"> </w:t>
      </w:r>
      <w:r>
        <w:t xml:space="preserve">phases introduced tiled contracts and padded variable-size policy evaluation,</w:t>
      </w:r>
      <w:r>
        <w:t xml:space="preserve"> </w:t>
      </w:r>
      <w:r>
        <w:t xml:space="preserve">allowing bounded same-reward comparisons across held-out Bishan tiles.</w:t>
      </w:r>
    </w:p>
    <w:bookmarkEnd w:id="17"/>
    <w:bookmarkStart w:id="18" w:name="evidence-gates"/>
    <w:p>
      <w:pPr>
        <w:pStyle w:val="Heading3"/>
      </w:pPr>
      <w:r>
        <w:t xml:space="preserve">3.3 Evidence Gates</w:t>
      </w:r>
    </w:p>
    <w:p>
      <w:pPr>
        <w:pStyle w:val="FirstParagraph"/>
      </w:pPr>
      <w:r>
        <w:t xml:space="preserve">The evidence-gated design prevents unsupported claims from entering the</w:t>
      </w:r>
      <w:r>
        <w:t xml:space="preserve"> </w:t>
      </w:r>
      <w:r>
        <w:t xml:space="preserve">manuscript. Phase 26 converts padded held-out policy outputs into</w:t>
      </w:r>
      <w:r>
        <w:t xml:space="preserve"> </w:t>
      </w:r>
      <w:r>
        <w:t xml:space="preserve">manuscript-facing B0/B1 summaries. Phase 28 adds representation controls.</w:t>
      </w:r>
      <w:r>
        <w:t xml:space="preserve"> </w:t>
      </w:r>
      <w:r>
        <w:t xml:space="preserve">Phase 33 tests whether a modestly higher budget rescues normalized-B1 behavior.</w:t>
      </w:r>
      <w:r>
        <w:t xml:space="preserve"> </w:t>
      </w:r>
      <w:r>
        <w:t xml:space="preserve">Phase 36 evaluates suitability-proxy signal against available weak labels.</w:t>
      </w:r>
      <w:r>
        <w:t xml:space="preserve"> </w:t>
      </w:r>
      <w:r>
        <w:t xml:space="preserve">Phase 38 rebuilds suitability proxies under leakage-aware controls. Phase 39</w:t>
      </w:r>
      <w:r>
        <w:t xml:space="preserve"> </w:t>
      </w:r>
      <w:r>
        <w:t xml:space="preserve">audits available label-like columns. Phase 40 adds the hard independent-label</w:t>
      </w:r>
      <w:r>
        <w:t xml:space="preserve"> </w:t>
      </w:r>
      <w:r>
        <w:t xml:space="preserve">go/no-go gate before any Phase 38 rerun or B2/B3 reward smoke. Phase 41 tests</w:t>
      </w:r>
      <w:r>
        <w:t xml:space="preserve"> </w:t>
      </w:r>
      <w:r>
        <w:t xml:space="preserve">the revised route in which GeoFM can enter the workflow only as an</w:t>
      </w:r>
      <w:r>
        <w:t xml:space="preserve"> </w:t>
      </w:r>
      <w:r>
        <w:t xml:space="preserve">independent-label-calibrated low-dimensional suitability prior. Phase 42 audits</w:t>
      </w:r>
      <w:r>
        <w:t xml:space="preserve"> </w:t>
      </w:r>
      <w:r>
        <w:t xml:space="preserve">local candidate label sources to distinguish true external labels from</w:t>
      </w:r>
      <w:r>
        <w:t xml:space="preserve"> </w:t>
      </w:r>
      <w:r>
        <w:t xml:space="preserve">diagnostic DLTB/slope weak labels and unrelated labels from other projects.</w:t>
      </w:r>
    </w:p>
    <w:bookmarkEnd w:id="18"/>
    <w:bookmarkEnd w:id="19"/>
    <w:bookmarkStart w:id="24" w:name="experiments"/>
    <w:p>
      <w:pPr>
        <w:pStyle w:val="Heading2"/>
      </w:pPr>
      <w:r>
        <w:t xml:space="preserve">4. Experiments</w:t>
      </w:r>
    </w:p>
    <w:bookmarkStart w:id="20" w:name="held-out-b0b1-learned-policy-analysis"/>
    <w:p>
      <w:pPr>
        <w:pStyle w:val="Heading3"/>
      </w:pPr>
      <w:r>
        <w:t xml:space="preserve">4.1 Held-Out B0/B1 Learned-Policy Analysis</w:t>
      </w:r>
    </w:p>
    <w:p>
      <w:pPr>
        <w:pStyle w:val="FirstParagraph"/>
      </w:pPr>
      <w:r>
        <w:t xml:space="preserve">The main B0/B1 held-out analysis trains on</w:t>
      </w:r>
      <w:r>
        <w:t xml:space="preserve"> </w:t>
      </w:r>
      <w:r>
        <w:rPr>
          <w:rStyle w:val="VerbatimChar"/>
        </w:rPr>
        <w:t xml:space="preserve">tile_r003_c003</w:t>
      </w:r>
      <w:r>
        <w:t xml:space="preserve"> </w:t>
      </w:r>
      <w:r>
        <w:t xml:space="preserve">and evaluates on</w:t>
      </w:r>
      <w:r>
        <w:t xml:space="preserve"> </w:t>
      </w:r>
      <w:r>
        <w:t xml:space="preserve">held-out Bishan tiles</w:t>
      </w:r>
      <w:r>
        <w:t xml:space="preserve"> </w:t>
      </w:r>
      <w:r>
        <w:rPr>
          <w:rStyle w:val="VerbatimChar"/>
        </w:rPr>
        <w:t xml:space="preserve">tile_r002_c003</w:t>
      </w:r>
      <w:r>
        <w:t xml:space="preserve">,</w:t>
      </w:r>
      <w:r>
        <w:t xml:space="preserve"> </w:t>
      </w:r>
      <w:r>
        <w:rPr>
          <w:rStyle w:val="VerbatimChar"/>
        </w:rPr>
        <w:t xml:space="preserve">tile_r005_c004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tile_r005_c003</w:t>
      </w:r>
      <w:r>
        <w:t xml:space="preserve"> </w:t>
      </w:r>
      <w:r>
        <w:t xml:space="preserve">across seeds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</w:t>
      </w:r>
      <w:r>
        <w:t xml:space="preserve">. At 4096 training steps and</w:t>
      </w:r>
      <w:r>
        <w:t xml:space="preserve"> </w:t>
      </w:r>
      <w:r>
        <w:t xml:space="preserve">evaluation horizon</w:t>
      </w:r>
      <w:r>
        <w:t xml:space="preserve"> </w:t>
      </w:r>
      <w:r>
        <w:rPr>
          <w:rStyle w:val="VerbatimChar"/>
        </w:rPr>
        <w:t xml:space="preserve">8</w:t>
      </w:r>
      <w:r>
        <w:t xml:space="preserve">, Phase 26 reports a learned-policy B1-B0 mean reward</w:t>
      </w:r>
      <w:r>
        <w:t xml:space="preserve"> </w:t>
      </w:r>
      <w:r>
        <w:t xml:space="preserve">delta of</w:t>
      </w:r>
      <w:r>
        <w:t xml:space="preserve"> </w:t>
      </w:r>
      <w:r>
        <w:rPr>
          <w:rStyle w:val="VerbatimChar"/>
        </w:rPr>
        <w:t xml:space="preserve">-0.1318712688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3 / 9</w:t>
      </w:r>
      <w:r>
        <w:t xml:space="preserve"> </w:t>
      </w:r>
      <w:r>
        <w:t xml:space="preserve">tile-seed pairs favor B1.</w:t>
      </w:r>
    </w:p>
    <w:p>
      <w:pPr>
        <w:pStyle w:val="BodyText"/>
      </w:pPr>
      <w:r>
        <w:t xml:space="preserve">This result does not support a stable claim that raw GeoFM-enhanced B1</w:t>
      </w:r>
      <w:r>
        <w:t xml:space="preserve"> </w:t>
      </w:r>
      <w:r>
        <w:t xml:space="preserve">outperforms explicit-feature B0 under the deterministic base planning reward.</w:t>
      </w:r>
    </w:p>
    <w:bookmarkEnd w:id="20"/>
    <w:bookmarkStart w:id="21" w:name="representation-control-results"/>
    <w:p>
      <w:pPr>
        <w:pStyle w:val="Heading3"/>
      </w:pPr>
      <w:r>
        <w:t xml:space="preserve">4.2 Representation-Control Results</w:t>
      </w:r>
    </w:p>
    <w:p>
      <w:pPr>
        <w:pStyle w:val="FirstParagraph"/>
      </w:pPr>
      <w:r>
        <w:t xml:space="preserve">Phase 28 compares B1 against B0, D2, D3, D4P8, and D4P16 under the same padded</w:t>
      </w:r>
      <w:r>
        <w:t xml:space="preserve"> </w:t>
      </w:r>
      <w:r>
        <w:t xml:space="preserve">held-out protocol at 1024 and 4096 training steps. Both runs report</w:t>
      </w:r>
      <w:r>
        <w:t xml:space="preserve"> </w:t>
      </w:r>
      <w:r>
        <w:rPr>
          <w:rStyle w:val="VerbatimChar"/>
        </w:rPr>
        <w:t xml:space="preserve">compression_matches_raw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representation_signal_supported</w:t>
      </w:r>
      <w:r>
        <w:t xml:space="preserve">.</w:t>
      </w:r>
    </w:p>
    <w:p>
      <w:pPr>
        <w:pStyle w:val="BodyText"/>
      </w:pPr>
      <w:r>
        <w:t xml:space="preserve">At 4096 steps, the B1-comparator mean deltas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B1 minus comparator mean 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Positive tile-seed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B1 - B0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-0.1318712688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B1 - D2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0.0744591656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B1 - D3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-0.1094750135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B1 - D4P8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-0.3768518347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B1 - D4P16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-0.6411940236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 / 9</w:t>
            </w:r>
          </w:p>
        </w:tc>
      </w:tr>
    </w:tbl>
    <w:p>
      <w:pPr>
        <w:pStyle w:val="BodyText"/>
      </w:pPr>
      <w:r>
        <w:t xml:space="preserve">The compressed controls are central to the interpretation. D4P8 and D4P16</w:t>
      </w:r>
      <w:r>
        <w:t xml:space="preserve"> </w:t>
      </w:r>
      <w:r>
        <w:t xml:space="preserve">exceed raw B1 at 4096 steps, so the current evidence is more consistent with</w:t>
      </w:r>
      <w:r>
        <w:t xml:space="preserve"> </w:t>
      </w:r>
      <w:r>
        <w:t xml:space="preserve">representation compression or optimization effects than with a robust semantic</w:t>
      </w:r>
      <w:r>
        <w:t xml:space="preserve"> </w:t>
      </w:r>
      <w:r>
        <w:t xml:space="preserve">advantage of raw 64-dimensional GeoFM embeddings.</w:t>
      </w:r>
    </w:p>
    <w:bookmarkEnd w:id="21"/>
    <w:bookmarkStart w:id="22" w:name="normalization-and-budget-robustness"/>
    <w:p>
      <w:pPr>
        <w:pStyle w:val="Heading3"/>
      </w:pPr>
      <w:r>
        <w:t xml:space="preserve">4.3 Normalization and Budget Robustness</w:t>
      </w:r>
    </w:p>
    <w:p>
      <w:pPr>
        <w:pStyle w:val="FirstParagraph"/>
      </w:pPr>
      <w:r>
        <w:t xml:space="preserve">Phase 30 tests whether normalizing B1 embeddings repairs raw-B1 underperformance.</w:t>
      </w:r>
      <w:r>
        <w:t xml:space="preserve"> </w:t>
      </w:r>
      <w:r>
        <w:t xml:space="preserve">At 4096 steps, normalized variants improve raw B1 and recover the mean B0 gap:</w:t>
      </w:r>
      <w:r>
        <w:t xml:space="preserve"> </w:t>
      </w:r>
      <w:r>
        <w:rPr>
          <w:rStyle w:val="VerbatimChar"/>
        </w:rPr>
        <w:t xml:space="preserve">N1Z</w:t>
      </w:r>
      <w:r>
        <w:t xml:space="preserve"> </w:t>
      </w:r>
      <w:r>
        <w:t xml:space="preserve">achieves mean learned-policy reward</w:t>
      </w:r>
      <w:r>
        <w:t xml:space="preserve"> </w:t>
      </w:r>
      <w:r>
        <w:rPr>
          <w:rStyle w:val="VerbatimChar"/>
        </w:rPr>
        <w:t xml:space="preserve">0.6515323140</w:t>
      </w:r>
      <w:r>
        <w:t xml:space="preserve">, compared with</w:t>
      </w:r>
      <w:r>
        <w:t xml:space="preserve"> </w:t>
      </w:r>
      <w:r>
        <w:rPr>
          <w:rStyle w:val="VerbatimChar"/>
        </w:rPr>
        <w:t xml:space="preserve">0.4825072170</w:t>
      </w:r>
      <w:r>
        <w:t xml:space="preserve"> </w:t>
      </w:r>
      <w:r>
        <w:t xml:space="preserve">for B0 and</w:t>
      </w:r>
      <w:r>
        <w:t xml:space="preserve"> </w:t>
      </w:r>
      <w:r>
        <w:rPr>
          <w:rStyle w:val="VerbatimChar"/>
        </w:rPr>
        <w:t xml:space="preserve">0.3506359482</w:t>
      </w:r>
      <w:r>
        <w:t xml:space="preserve"> </w:t>
      </w:r>
      <w:r>
        <w:t xml:space="preserve">for raw B1. However, normalized</w:t>
      </w:r>
      <w:r>
        <w:t xml:space="preserve"> </w:t>
      </w:r>
      <w:r>
        <w:t xml:space="preserve">variants do not consistently exceed compressed controls.</w:t>
      </w:r>
    </w:p>
    <w:p>
      <w:pPr>
        <w:pStyle w:val="BodyText"/>
      </w:pPr>
      <w:r>
        <w:t xml:space="preserve">Phase 33 extends this question with bounded 5120-step matched pilots across</w:t>
      </w:r>
      <w:r>
        <w:t xml:space="preserve"> </w:t>
      </w:r>
      <w:r>
        <w:t xml:space="preserve">three held-out tiles and three seeds. The full aggregate reports</w:t>
      </w:r>
      <w:r>
        <w:t xml:space="preserve"> </w:t>
      </w:r>
      <w:r>
        <w:rPr>
          <w:rStyle w:val="VerbatimChar"/>
        </w:rPr>
        <w:t xml:space="preserve">budget_not_explanatory</w:t>
      </w:r>
      <w:r>
        <w:t xml:space="preserve">. At 5120 steps, tracked focal gaps remain negative on</w:t>
      </w:r>
      <w:r>
        <w:t xml:space="preserve"> </w:t>
      </w:r>
      <w:r>
        <w:t xml:space="preserve">mean, including</w:t>
      </w:r>
      <w:r>
        <w:t xml:space="preserve"> </w:t>
      </w:r>
      <w:r>
        <w:rPr>
          <w:rStyle w:val="VerbatimChar"/>
        </w:rPr>
        <w:t xml:space="preserve">N1Z - D4P16 = -0.7597285327</w:t>
      </w:r>
      <w:r>
        <w:t xml:space="preserve">,</w:t>
      </w:r>
      <w:r>
        <w:t xml:space="preserve"> </w:t>
      </w:r>
      <w:r>
        <w:rPr>
          <w:rStyle w:val="VerbatimChar"/>
        </w:rPr>
        <w:t xml:space="preserve">N1Z - D4P8 = -0.4953863438</w:t>
      </w:r>
      <w:r>
        <w:t xml:space="preserve">,</w:t>
      </w:r>
      <w:r>
        <w:t xml:space="preserve"> </w:t>
      </w:r>
      <w:r>
        <w:rPr>
          <w:rStyle w:val="VerbatimChar"/>
        </w:rPr>
        <w:t xml:space="preserve">N1ZR - D4P16 = -0.6658915329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N1ZR - D4P8 = -0.4015493440</w:t>
      </w:r>
      <w:r>
        <w:t xml:space="preserve">.</w:t>
      </w:r>
    </w:p>
    <w:p>
      <w:pPr>
        <w:pStyle w:val="BodyText"/>
      </w:pPr>
      <w:r>
        <w:t xml:space="preserve">This result prevents the manuscript from claiming that a modestly higher</w:t>
      </w:r>
      <w:r>
        <w:t xml:space="preserve"> </w:t>
      </w:r>
      <w:r>
        <w:t xml:space="preserve">training budget or simple normalization resolves the representation-control</w:t>
      </w:r>
      <w:r>
        <w:t xml:space="preserve"> </w:t>
      </w:r>
      <w:r>
        <w:t xml:space="preserve">problem.</w:t>
      </w:r>
    </w:p>
    <w:bookmarkEnd w:id="22"/>
    <w:bookmarkStart w:id="23" w:name="Xbd2b6054518b30f0b605eab238e81af4e2561e4"/>
    <w:p>
      <w:pPr>
        <w:pStyle w:val="Heading3"/>
      </w:pPr>
      <w:r>
        <w:t xml:space="preserve">4.4 Suitability-Proxy, Prior, and Independent-Label Gates</w:t>
      </w:r>
    </w:p>
    <w:p>
      <w:pPr>
        <w:pStyle w:val="FirstParagraph"/>
      </w:pPr>
      <w:r>
        <w:t xml:space="preserve">Phase 36 evaluates whether GeoFM-derived feature families add weak-label</w:t>
      </w:r>
      <w:r>
        <w:t xml:space="preserve"> </w:t>
      </w:r>
      <w:r>
        <w:t xml:space="preserve">suitability signal beyond explicit planning features. The available labels are</w:t>
      </w:r>
      <w:r>
        <w:t xml:space="preserve"> </w:t>
      </w:r>
      <w:r>
        <w:rPr>
          <w:rStyle w:val="VerbatimChar"/>
        </w:rPr>
        <w:t xml:space="preserve">current_farmland_label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farmland_or_orchard_label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low_slope_farmland_label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64,984</w:t>
      </w:r>
      <w:r>
        <w:t xml:space="preserve"> </w:t>
      </w:r>
      <w:r>
        <w:t xml:space="preserve">valid labels each. All three labels</w:t>
      </w:r>
      <w:r>
        <w:t xml:space="preserve"> </w:t>
      </w:r>
      <w:r>
        <w:t xml:space="preserve">are DLTB/slope-derived and flagged as</w:t>
      </w:r>
      <w:r>
        <w:t xml:space="preserve"> </w:t>
      </w:r>
      <w:r>
        <w:rPr>
          <w:rStyle w:val="VerbatimChar"/>
        </w:rPr>
        <w:t xml:space="preserve">explicit_label_leakage_risk</w:t>
      </w:r>
      <w:r>
        <w:t xml:space="preserve">.</w:t>
      </w:r>
    </w:p>
    <w:p>
      <w:pPr>
        <w:pStyle w:val="BodyText"/>
      </w:pPr>
      <w:r>
        <w:t xml:space="preserve">Because explicit planning features encode the weak-label logic,</w:t>
      </w:r>
      <w:r>
        <w:t xml:space="preserve"> </w:t>
      </w:r>
      <w:r>
        <w:rPr>
          <w:rStyle w:val="VerbatimChar"/>
        </w:rPr>
        <w:t xml:space="preserve">explicit_only</w:t>
      </w:r>
      <w:r>
        <w:t xml:space="preserve"> </w:t>
      </w:r>
      <w:r>
        <w:t xml:space="preserve">models reach ROC AUC, average precision, and balanced accuracy 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for all</w:t>
      </w:r>
      <w:r>
        <w:t xml:space="preserve"> </w:t>
      </w:r>
      <w:r>
        <w:t xml:space="preserve">three labels. This perfect performance is a leakage warning, not suitability</w:t>
      </w:r>
      <w:r>
        <w:t xml:space="preserve"> </w:t>
      </w:r>
      <w:r>
        <w:t xml:space="preserve">validation. GeoFM-only checks are weak: for example, raw GeoFM-only features</w:t>
      </w:r>
      <w:r>
        <w:t xml:space="preserve"> </w:t>
      </w:r>
      <w:r>
        <w:t xml:space="preserve">reach ROC AUC</w:t>
      </w:r>
      <w:r>
        <w:t xml:space="preserve"> </w:t>
      </w:r>
      <w:r>
        <w:rPr>
          <w:rStyle w:val="VerbatimChar"/>
        </w:rPr>
        <w:t xml:space="preserve">0.6490064144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low_slope_farmland_label</w:t>
      </w:r>
      <w:r>
        <w:t xml:space="preserve">, but the scalar</w:t>
      </w:r>
      <w:r>
        <w:t xml:space="preserve"> </w:t>
      </w:r>
      <w:r>
        <w:rPr>
          <w:rStyle w:val="VerbatimChar"/>
        </w:rPr>
        <w:t xml:space="preserve">suitability_proxy</w:t>
      </w:r>
      <w:r>
        <w:t xml:space="preserve"> </w:t>
      </w:r>
      <w:r>
        <w:t xml:space="preserve">is near random for that label with ROC AUC</w:t>
      </w:r>
      <w:r>
        <w:t xml:space="preserve"> </w:t>
      </w:r>
      <w:r>
        <w:rPr>
          <w:rStyle w:val="VerbatimChar"/>
        </w:rPr>
        <w:t xml:space="preserve">0.4979564572</w:t>
      </w:r>
      <w:r>
        <w:t xml:space="preserve">.</w:t>
      </w:r>
    </w:p>
    <w:p>
      <w:pPr>
        <w:pStyle w:val="BodyText"/>
      </w:pPr>
      <w:r>
        <w:t xml:space="preserve">Phase 38 rebuilds proxy classifiers but remains</w:t>
      </w:r>
      <w:r>
        <w:t xml:space="preserve"> </w:t>
      </w:r>
      <w:r>
        <w:rPr>
          <w:rStyle w:val="VerbatimChar"/>
        </w:rPr>
        <w:t xml:space="preserve">proxy_rebuild_diagnostic_only</w:t>
      </w:r>
      <w:r>
        <w:t xml:space="preserve"> </w:t>
      </w:r>
      <w:r>
        <w:t xml:space="preserve">because evaluated labels are leakage risks or</w:t>
      </w:r>
      <w:r>
        <w:t xml:space="preserve"> </w:t>
      </w:r>
      <w:r>
        <w:t xml:space="preserve">GeoFM-derived proxies do not clear control thresholds. Phase 39 reports</w:t>
      </w:r>
      <w:r>
        <w:t xml:space="preserve"> </w:t>
      </w:r>
      <w:r>
        <w:rPr>
          <w:rStyle w:val="VerbatimChar"/>
        </w:rPr>
        <w:t xml:space="preserve">independent_label_inputs_missing</w:t>
      </w:r>
      <w:r>
        <w:t xml:space="preserve"> </w:t>
      </w:r>
      <w:r>
        <w:t xml:space="preserve">after auditing the real Phase 2 table. Phase</w:t>
      </w:r>
      <w:r>
        <w:t xml:space="preserve"> </w:t>
      </w:r>
      <w:r>
        <w:t xml:space="preserve">40 then formalizes the decision as a hard gate: without a registered</w:t>
      </w:r>
      <w:r>
        <w:t xml:space="preserve"> </w:t>
      </w:r>
      <w:r>
        <w:t xml:space="preserve">independent non-leakage label, Phase 38 cannot be rerun as a stronger proxy</w:t>
      </w:r>
      <w:r>
        <w:t xml:space="preserve"> </w:t>
      </w:r>
      <w:r>
        <w:t xml:space="preserve">validation, and B2/B3 suitability-reward experiments should not proceed. The</w:t>
      </w:r>
      <w:r>
        <w:t xml:space="preserve"> </w:t>
      </w:r>
      <w:r>
        <w:t xml:space="preserve">current Phase 40 no-registry run reads</w:t>
      </w:r>
      <w:r>
        <w:t xml:space="preserve"> </w:t>
      </w:r>
      <w:r>
        <w:rPr>
          <w:rStyle w:val="VerbatimChar"/>
        </w:rPr>
        <w:t xml:space="preserve">64,984</w:t>
      </w:r>
      <w:r>
        <w:t xml:space="preserve"> </w:t>
      </w:r>
      <w:r>
        <w:t xml:space="preserve">feature rows,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registry</w:t>
      </w:r>
      <w:r>
        <w:t xml:space="preserve"> </w:t>
      </w:r>
      <w:r>
        <w:t xml:space="preserve">rows, and reports</w:t>
      </w:r>
      <w:r>
        <w:t xml:space="preserve"> </w:t>
      </w:r>
      <w:r>
        <w:rPr>
          <w:rStyle w:val="VerbatimChar"/>
        </w:rPr>
        <w:t xml:space="preserve">independent_label_inputs_missing</w:t>
      </w:r>
      <w:r>
        <w:t xml:space="preserve">.</w:t>
      </w:r>
    </w:p>
    <w:p>
      <w:pPr>
        <w:pStyle w:val="BodyText"/>
      </w:pPr>
      <w:r>
        <w:t xml:space="preserve">Phase 41 tests the revised route for making GeoFM useful: instead of injecting</w:t>
      </w:r>
      <w:r>
        <w:t xml:space="preserve"> </w:t>
      </w:r>
      <w:r>
        <w:t xml:space="preserve">raw 64-dimensional embeddings directly into the policy state, GeoFM can be</w:t>
      </w:r>
      <w:r>
        <w:t xml:space="preserve"> </w:t>
      </w:r>
      <w:r>
        <w:t xml:space="preserve">exported only as an independent-label-calibrated low-dimensional suitability</w:t>
      </w:r>
      <w:r>
        <w:t xml:space="preserve"> </w:t>
      </w:r>
      <w:r>
        <w:t xml:space="preserve">prior after passing explicit-baseline, shuffled-control, random-control,</w:t>
      </w:r>
      <w:r>
        <w:t xml:space="preserve"> </w:t>
      </w:r>
      <w:r>
        <w:t xml:space="preserve">fold-stability, and calibration checks. The current real no-registry run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phase41_independent_label_inputs_missing</w:t>
      </w:r>
      <w:r>
        <w:t xml:space="preserve">, reads</w:t>
      </w:r>
      <w:r>
        <w:t xml:space="preserve"> </w:t>
      </w:r>
      <w:r>
        <w:rPr>
          <w:rStyle w:val="VerbatimChar"/>
        </w:rPr>
        <w:t xml:space="preserve">64,984</w:t>
      </w:r>
      <w:r>
        <w:t xml:space="preserve"> </w:t>
      </w:r>
      <w:r>
        <w:t xml:space="preserve">feature</w:t>
      </w:r>
      <w:r>
        <w:t xml:space="preserve"> </w:t>
      </w:r>
      <w:r>
        <w:t xml:space="preserve">rows, finds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Phase-40-passed labels, and produces no</w:t>
      </w:r>
      <w:r>
        <w:t xml:space="preserve"> </w:t>
      </w:r>
      <w:r>
        <w:rPr>
          <w:rStyle w:val="VerbatimChar"/>
        </w:rPr>
        <w:t xml:space="preserve">block_geofm_suitability_prior.csv</w:t>
      </w:r>
      <w:r>
        <w:t xml:space="preserve">.</w:t>
      </w:r>
    </w:p>
    <w:p>
      <w:pPr>
        <w:pStyle w:val="BodyText"/>
      </w:pPr>
      <w:r>
        <w:t xml:space="preserve">Phase 42 audits local candidate label sources after Phase 41. DLTB/slope labels</w:t>
      </w:r>
      <w:r>
        <w:t xml:space="preserve"> </w:t>
      </w:r>
      <w:r>
        <w:t xml:space="preserve">can be registered only as diagnostic leakage-risk labels: Phase 40 reports</w:t>
      </w:r>
      <w:r>
        <w:t xml:space="preserve"> </w:t>
      </w:r>
      <w:r>
        <w:rPr>
          <w:rStyle w:val="VerbatimChar"/>
        </w:rPr>
        <w:t xml:space="preserve">independent_label_gate_diagnostic_only</w:t>
      </w:r>
      <w:r>
        <w:t xml:space="preserve">, and Phase 41 still reports</w:t>
      </w:r>
      <w:r>
        <w:t xml:space="preserve"> </w:t>
      </w:r>
      <w:r>
        <w:rPr>
          <w:rStyle w:val="VerbatimChar"/>
        </w:rPr>
        <w:t xml:space="preserve">phase41_independent_label_inputs_missing</w:t>
      </w:r>
      <w:r>
        <w:t xml:space="preserve"> </w:t>
      </w:r>
      <w:r>
        <w:t xml:space="preserve">with the same diagnostic registry.</w:t>
      </w:r>
      <w:r>
        <w:t xml:space="preserve"> </w:t>
      </w:r>
      <w:r>
        <w:t xml:space="preserve">No local external soil, irrigation, yield, productivity, high-standard-farmland,</w:t>
      </w:r>
      <w:r>
        <w:t xml:space="preserve"> </w:t>
      </w:r>
      <w:r>
        <w:t xml:space="preserve">field-survey, or policy-outcome label was found that can pass Phase 40.</w:t>
      </w:r>
    </w:p>
    <w:bookmarkEnd w:id="23"/>
    <w:bookmarkEnd w:id="24"/>
    <w:bookmarkStart w:id="25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t xml:space="preserve">The current Paper11 evidence settles the tested scientific claim negatively.</w:t>
      </w:r>
      <w:r>
        <w:t xml:space="preserve"> </w:t>
      </w:r>
      <w:r>
        <w:t xml:space="preserve">The project began with the question of whether GeoFM embeddings could improve</w:t>
      </w:r>
      <w:r>
        <w:t xml:space="preserve"> </w:t>
      </w:r>
      <w:r>
        <w:t xml:space="preserve">farmland layout optimization by adding latent environmental context. The</w:t>
      </w:r>
      <w:r>
        <w:t xml:space="preserve"> </w:t>
      </w:r>
      <w:r>
        <w:t xml:space="preserve">current bounded evidence does not support that positive claim. Raw B1 does not</w:t>
      </w:r>
      <w:r>
        <w:t xml:space="preserve"> </w:t>
      </w:r>
      <w:r>
        <w:t xml:space="preserve">stably outperform B0 across held-out Bishan tiles and seeds, compressed</w:t>
      </w:r>
      <w:r>
        <w:t xml:space="preserve"> </w:t>
      </w:r>
      <w:r>
        <w:t xml:space="preserve">controls can exceed raw B1, and normalized B1 does not survive broader</w:t>
      </w:r>
      <w:r>
        <w:t xml:space="preserve"> </w:t>
      </w:r>
      <w:r>
        <w:t xml:space="preserve">robustness checks as a general rescue.</w:t>
      </w:r>
    </w:p>
    <w:p>
      <w:pPr>
        <w:pStyle w:val="BodyText"/>
      </w:pPr>
      <w:r>
        <w:t xml:space="preserve">This negative result is informative rather than incidental. It shows that</w:t>
      </w:r>
      <w:r>
        <w:t xml:space="preserve"> </w:t>
      </w:r>
      <w:r>
        <w:t xml:space="preserve">remote-sensing foundation-model embeddings cannot be treated as decision-ready</w:t>
      </w:r>
      <w:r>
        <w:t xml:space="preserve"> </w:t>
      </w:r>
      <w:r>
        <w:t xml:space="preserve">suitability variables merely because they are semantically rich. In the current</w:t>
      </w:r>
      <w:r>
        <w:t xml:space="preserve"> </w:t>
      </w:r>
      <w:r>
        <w:t xml:space="preserve">planning environment, representation scale, compression, spatial alignment, and</w:t>
      </w:r>
      <w:r>
        <w:t xml:space="preserve"> </w:t>
      </w:r>
      <w:r>
        <w:t xml:space="preserve">reward definition all shape learned-policy behavior. Without controls, a</w:t>
      </w:r>
      <w:r>
        <w:t xml:space="preserve"> </w:t>
      </w:r>
      <w:r>
        <w:t xml:space="preserve">positive result could be misattributed to GeoFM semantics.</w:t>
      </w:r>
    </w:p>
    <w:p>
      <w:pPr>
        <w:pStyle w:val="BodyText"/>
      </w:pPr>
      <w:r>
        <w:t xml:space="preserve">The suitability branch is more constrained than a simple missing-experiment</w:t>
      </w:r>
      <w:r>
        <w:t xml:space="preserve"> </w:t>
      </w:r>
      <w:r>
        <w:t xml:space="preserve">case. The current weak labels are derived from DLTB, slope, or source metadata,</w:t>
      </w:r>
      <w:r>
        <w:t xml:space="preserve"> </w:t>
      </w:r>
      <w:r>
        <w:t xml:space="preserve">so they cannot validate an independent suitability reward. Phase 40 prevents</w:t>
      </w:r>
      <w:r>
        <w:t xml:space="preserve"> </w:t>
      </w:r>
      <w:r>
        <w:t xml:space="preserve">the workflow from converting weak, leakage-prone labels into B2/B3 reward</w:t>
      </w:r>
      <w:r>
        <w:t xml:space="preserve"> </w:t>
      </w:r>
      <w:r>
        <w:t xml:space="preserve">claims. Phase 41 defines a stricter future route in which GeoFM must be</w:t>
      </w:r>
      <w:r>
        <w:t xml:space="preserve"> </w:t>
      </w:r>
      <w:r>
        <w:t xml:space="preserve">converted into a calibrated low-dimensional prior before it can influence</w:t>
      </w:r>
      <w:r>
        <w:t xml:space="preserve"> </w:t>
      </w:r>
      <w:r>
        <w:t xml:space="preserve">suitability reward. Phase 42 then tests whether the required labels are already</w:t>
      </w:r>
      <w:r>
        <w:t xml:space="preserve"> </w:t>
      </w:r>
      <w:r>
        <w:t xml:space="preserve">available locally and concludes that they are not: DLTB/slope labels remain</w:t>
      </w:r>
      <w:r>
        <w:t xml:space="preserve"> </w:t>
      </w:r>
      <w:r>
        <w:t xml:space="preserve">diagnostic-only, and candidate labels from Paper10 and Paper58 are not Paper11</w:t>
      </w:r>
      <w:r>
        <w:t xml:space="preserve"> </w:t>
      </w:r>
      <w:r>
        <w:t xml:space="preserve">Bishan suitability labels.</w:t>
      </w:r>
    </w:p>
    <w:p>
      <w:pPr>
        <w:pStyle w:val="BodyText"/>
      </w:pPr>
      <w:r>
        <w:t xml:space="preserve">The negative conclusion remains bounded. It is Bishan-only, uses bounded</w:t>
      </w:r>
      <w:r>
        <w:t xml:space="preserve"> </w:t>
      </w:r>
      <w:r>
        <w:t xml:space="preserve">training budgets, does not provide cross-region transfer evidence, does not</w:t>
      </w:r>
      <w:r>
        <w:t xml:space="preserve"> </w:t>
      </w:r>
      <w:r>
        <w:t xml:space="preserve">enable B2/B3, and does not validate agronomic suitability with independent</w:t>
      </w:r>
      <w:r>
        <w:t xml:space="preserve"> </w:t>
      </w:r>
      <w:r>
        <w:t xml:space="preserve">field, soil, irrigation, yield, or high-standard-farmland labels. These</w:t>
      </w:r>
      <w:r>
        <w:t xml:space="preserve"> </w:t>
      </w:r>
      <w:r>
        <w:t xml:space="preserve">limitations are not minor additions to a positive story. They define the</w:t>
      </w:r>
      <w:r>
        <w:t xml:space="preserve"> </w:t>
      </w:r>
      <w:r>
        <w:t xml:space="preserve">boundary of the current paper and the conditions under which GeoFM can be</w:t>
      </w:r>
      <w:r>
        <w:t xml:space="preserve"> </w:t>
      </w:r>
      <w:r>
        <w:t xml:space="preserve">retested.</w:t>
      </w:r>
    </w:p>
    <w:bookmarkEnd w:id="25"/>
    <w:bookmarkStart w:id="26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current Paper11 repository establishes a reproducible workflow for testing</w:t>
      </w:r>
      <w:r>
        <w:t xml:space="preserve"> </w:t>
      </w:r>
      <w:r>
        <w:t xml:space="preserve">GeoFM-enhanced farmland layout optimization on real planning units, and the</w:t>
      </w:r>
      <w:r>
        <w:t xml:space="preserve"> </w:t>
      </w:r>
      <w:r>
        <w:t xml:space="preserve">completed evidence rejects the current positive Paper11 hypothesis under the</w:t>
      </w:r>
      <w:r>
        <w:t xml:space="preserve"> </w:t>
      </w:r>
      <w:r>
        <w:t xml:space="preserve">tested Bishan protocol. Raw GeoFM B1 is not a stable positive learned-policy</w:t>
      </w:r>
      <w:r>
        <w:t xml:space="preserve"> </w:t>
      </w:r>
      <w:r>
        <w:t xml:space="preserve">signal; compressed and normalized controls reveal unresolved representation</w:t>
      </w:r>
      <w:r>
        <w:t xml:space="preserve"> </w:t>
      </w:r>
      <w:r>
        <w:t xml:space="preserve">effects; local DLTB/slope labels are diagnostic rather than independent</w:t>
      </w:r>
      <w:r>
        <w:t xml:space="preserve"> </w:t>
      </w:r>
      <w:r>
        <w:t xml:space="preserve">suitability evidence; and suitability-reward work must remain blocked until an</w:t>
      </w:r>
      <w:r>
        <w:t xml:space="preserve"> </w:t>
      </w:r>
      <w:r>
        <w:t xml:space="preserve">independent non-leakage label registry passes Phase 40 and a leakage-aware</w:t>
      </w:r>
      <w:r>
        <w:t xml:space="preserve"> </w:t>
      </w:r>
      <w:r>
        <w:t xml:space="preserve">GeoFM prior passes Phase 41. The appropriate current conclusion is therefore</w:t>
      </w:r>
      <w:r>
        <w:t xml:space="preserve"> </w:t>
      </w:r>
      <w:r>
        <w:t xml:space="preserve">not that GeoFM fails universally, but that raw GeoFM state injection and the</w:t>
      </w:r>
      <w:r>
        <w:t xml:space="preserve"> </w:t>
      </w:r>
      <w:r>
        <w:t xml:space="preserve">current suitability-reward route are unsupported under the completed Paper11</w:t>
      </w:r>
      <w:r>
        <w:t xml:space="preserve"> </w:t>
      </w:r>
      <w:r>
        <w:t xml:space="preserve">evidence gates.</w:t>
      </w:r>
    </w:p>
    <w:bookmarkEnd w:id="26"/>
    <w:bookmarkStart w:id="27" w:name="claim-evidence-map"/>
    <w:p>
      <w:pPr>
        <w:pStyle w:val="Heading2"/>
      </w:pPr>
      <w:r>
        <w:t xml:space="preserve">Claim-Evidence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repository implements a reproducible GeoFM-enhanced farmland planning workflow.</w:t>
            </w:r>
          </w:p>
        </w:tc>
        <w:tc>
          <w:tcPr/>
          <w:p>
            <w:pPr>
              <w:pStyle w:val="Compact"/>
            </w:pPr>
            <w:r>
              <w:t xml:space="preserve">Phase 1-25 pipeline, real Bishan DLTB adapter, tiled contracts, padded held-out policy runner, smoke tests.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GeoFM B1 improves learned-policy planning decisions.</w:t>
            </w:r>
          </w:p>
        </w:tc>
        <w:tc>
          <w:tcPr/>
          <w:p>
            <w:pPr>
              <w:pStyle w:val="Compact"/>
            </w:pPr>
            <w:r>
              <w:t xml:space="preserve">Phase 26 B1-B0 mean delta</w:t>
            </w:r>
            <w:r>
              <w:t xml:space="preserve"> </w:t>
            </w:r>
            <w:r>
              <w:rPr>
                <w:rStyle w:val="VerbatimChar"/>
              </w:rPr>
              <w:t xml:space="preserve">-0.1318712688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 / 9</w:t>
            </w:r>
            <w:r>
              <w:t xml:space="preserve"> </w:t>
            </w:r>
            <w:r>
              <w:t xml:space="preserve">positive tile-seed pairs.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B1 carries a stable representation advantage over controls.</w:t>
            </w:r>
          </w:p>
        </w:tc>
        <w:tc>
          <w:tcPr/>
          <w:p>
            <w:pPr>
              <w:pStyle w:val="Compact"/>
            </w:pPr>
            <w:r>
              <w:t xml:space="preserve">Phase 28 reports</w:t>
            </w:r>
            <w:r>
              <w:t xml:space="preserve"> </w:t>
            </w:r>
            <w:r>
              <w:rPr>
                <w:rStyle w:val="VerbatimChar"/>
              </w:rPr>
              <w:t xml:space="preserve">compression_matches_raw</w:t>
            </w:r>
            <w:r>
              <w:t xml:space="preserve">; D4P8 and D4P16 exceed B1 at 4096 steps.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Normalization or more budget resolves the representation problem.</w:t>
            </w:r>
          </w:p>
        </w:tc>
        <w:tc>
          <w:tcPr/>
          <w:p>
            <w:pPr>
              <w:pStyle w:val="Compact"/>
            </w:pPr>
            <w:r>
              <w:t xml:space="preserve">Phase 30 partially improves B1; Phase 33 full bounded aggregate reports</w:t>
            </w:r>
            <w:r>
              <w:t xml:space="preserve"> </w:t>
            </w:r>
            <w:r>
              <w:rPr>
                <w:rStyle w:val="VerbatimChar"/>
              </w:rPr>
              <w:t xml:space="preserve">budget_not_explanatory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Suitability reward is ready for B2/B3.</w:t>
            </w:r>
          </w:p>
        </w:tc>
        <w:tc>
          <w:tcPr/>
          <w:p>
            <w:pPr>
              <w:pStyle w:val="Compact"/>
            </w:pPr>
            <w:r>
              <w:t xml:space="preserve">Phase 36</w:t>
            </w:r>
            <w:r>
              <w:t xml:space="preserve"> </w:t>
            </w:r>
            <w:r>
              <w:rPr>
                <w:rStyle w:val="VerbatimChar"/>
              </w:rPr>
              <w:t xml:space="preserve">proxy_signal_not_supported</w:t>
            </w:r>
            <w:r>
              <w:t xml:space="preserve">; Phase 38</w:t>
            </w:r>
            <w:r>
              <w:t xml:space="preserve"> </w:t>
            </w:r>
            <w:r>
              <w:rPr>
                <w:rStyle w:val="VerbatimChar"/>
              </w:rPr>
              <w:t xml:space="preserve">proxy_rebuild_diagnostic_only</w:t>
            </w:r>
            <w:r>
              <w:t xml:space="preserve">; Phase 40</w:t>
            </w:r>
            <w:r>
              <w:t xml:space="preserve"> </w:t>
            </w:r>
            <w:r>
              <w:rPr>
                <w:rStyle w:val="VerbatimChar"/>
              </w:rPr>
              <w:t xml:space="preserve">independent_label_inputs_missing</w:t>
            </w:r>
            <w:r>
              <w:t xml:space="preserve">; Phase 41</w:t>
            </w:r>
            <w:r>
              <w:t xml:space="preserve"> </w:t>
            </w:r>
            <w:r>
              <w:rPr>
                <w:rStyle w:val="VerbatimChar"/>
              </w:rPr>
              <w:t xml:space="preserve">phase41_independent_label_inputs_missing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files already contain a usable independent Paper11 suitability label.</w:t>
            </w:r>
          </w:p>
        </w:tc>
        <w:tc>
          <w:tcPr/>
          <w:p>
            <w:pPr>
              <w:pStyle w:val="Compact"/>
            </w:pPr>
            <w:r>
              <w:t xml:space="preserve">Phase 42 finds only diagnostic DLTB/slope weak labels and unrelated Paper10/Paper58 labels.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evidence supports a positive GeoFM-performance conclusion.</w:t>
            </w:r>
          </w:p>
        </w:tc>
        <w:tc>
          <w:tcPr/>
          <w:p>
            <w:pPr>
              <w:pStyle w:val="Compact"/>
            </w:pPr>
            <w:r>
              <w:t xml:space="preserve">Performance, suitability, B2/B3, and transfer claims remain unsupported.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evidence supports a bounded negative conclusion.</w:t>
            </w:r>
          </w:p>
        </w:tc>
        <w:tc>
          <w:tcPr/>
          <w:p>
            <w:pPr>
              <w:pStyle w:val="Compact"/>
            </w:pPr>
            <w:r>
              <w:t xml:space="preserve">B1 underperforms or fails controls, normalized/budget checks do not rescue the claim, local label audit fails, and suitability reward is blocked by Phase 40/41.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</w:tbl>
    <w:bookmarkEnd w:id="27"/>
    <w:bookmarkStart w:id="28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repository includes lightweight Bishan AlphaEarth sample arrays, code,</w:t>
      </w:r>
      <w:r>
        <w:t xml:space="preserve"> </w:t>
      </w:r>
      <w:r>
        <w:t xml:space="preserve">tests, reproduction guides, and file manifests for reviewer smoke checks. Full</w:t>
      </w:r>
      <w:r>
        <w:t xml:space="preserve"> </w:t>
      </w:r>
      <w:r>
        <w:t xml:space="preserve">real Bishan DLTB-with-slope inputs are external local data and are not</w:t>
      </w:r>
      <w:r>
        <w:t xml:space="preserve"> </w:t>
      </w:r>
      <w:r>
        <w:t xml:space="preserve">redistributed in ordinary Git. Large derived arrays, full generated outputs,</w:t>
      </w:r>
      <w:r>
        <w:t xml:space="preserve"> </w:t>
      </w:r>
      <w:r>
        <w:t xml:space="preserve">and trained artifacts should be deposited in an external archive before any</w:t>
      </w:r>
      <w:r>
        <w:t xml:space="preserve"> </w:t>
      </w:r>
      <w:r>
        <w:t xml:space="preserve">submission that relies on them.</w:t>
      </w:r>
    </w:p>
    <w:bookmarkEnd w:id="28"/>
    <w:bookmarkStart w:id="29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All code for the reviewer-facing workflow is maintained in the Paper11</w:t>
      </w:r>
      <w:r>
        <w:t xml:space="preserve"> </w:t>
      </w: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https://github.com/zhouning/paper11-geofm-farmland-suitability-rl</w:t>
      </w:r>
    </w:p>
    <w:p>
      <w:pPr>
        <w:pStyle w:val="FirstParagraph"/>
      </w:pPr>
      <w:r>
        <w:t xml:space="preserve">The final submitted version should cite a release tag or immutable commit hash.</w:t>
      </w:r>
    </w:p>
    <w:bookmarkEnd w:id="29"/>
    <w:bookmarkStart w:id="30" w:name="submission-metadata-still-required"/>
    <w:p>
      <w:pPr>
        <w:pStyle w:val="Heading2"/>
      </w:pPr>
      <w:r>
        <w:t xml:space="preserve">Submission Metadata Still Required</w:t>
      </w:r>
    </w:p>
    <w:p>
      <w:pPr>
        <w:pStyle w:val="Compact"/>
        <w:numPr>
          <w:ilvl w:val="0"/>
          <w:numId w:val="1003"/>
        </w:numPr>
      </w:pPr>
      <w:r>
        <w:t xml:space="preserve">Final author list, affiliations, and corresponding-author details.</w:t>
      </w:r>
    </w:p>
    <w:p>
      <w:pPr>
        <w:pStyle w:val="Compact"/>
        <w:numPr>
          <w:ilvl w:val="0"/>
          <w:numId w:val="1003"/>
        </w:numPr>
      </w:pPr>
      <w:r>
        <w:t xml:space="preserve">Funding statement.</w:t>
      </w:r>
    </w:p>
    <w:p>
      <w:pPr>
        <w:pStyle w:val="Compact"/>
        <w:numPr>
          <w:ilvl w:val="0"/>
          <w:numId w:val="1003"/>
        </w:numPr>
      </w:pPr>
      <w:r>
        <w:t xml:space="preserve">Author contributions.</w:t>
      </w:r>
    </w:p>
    <w:p>
      <w:pPr>
        <w:pStyle w:val="Compact"/>
        <w:numPr>
          <w:ilvl w:val="0"/>
          <w:numId w:val="1003"/>
        </w:numPr>
      </w:pPr>
      <w:r>
        <w:t xml:space="preserve">Final data access statement for the external DLTB-with-slope GeoPackage.</w:t>
      </w:r>
    </w:p>
    <w:p>
      <w:pPr>
        <w:pStyle w:val="Compact"/>
        <w:numPr>
          <w:ilvl w:val="0"/>
          <w:numId w:val="1003"/>
        </w:numPr>
      </w:pPr>
      <w:r>
        <w:t xml:space="preserve">Reference list and citation formatting for the selected journal.</w:t>
      </w:r>
    </w:p>
    <w:p>
      <w:pPr>
        <w:pStyle w:val="Compact"/>
        <w:numPr>
          <w:ilvl w:val="0"/>
          <w:numId w:val="1003"/>
        </w:numPr>
      </w:pPr>
      <w:r>
        <w:t xml:space="preserve">Final decision on target journal format for a bounded negative-results or evidence-gated methods article.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Evidence-Gated GeoFM Representation for Farmland Layout Optimization</dc:title>
  <dc:creator/>
  <cp:keywords/>
  <dcterms:created xsi:type="dcterms:W3CDTF">2026-07-06T11:25:49Z</dcterms:created>
  <dcterms:modified xsi:type="dcterms:W3CDTF">2026-07-06T11:25:49Z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