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19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### 4.3 Normalization and Budget Robustness</w:t>
      </w:r>
    </w:p>
    <w:p>
      <w:pPr>
        <w:pStyle w:val="BodyText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7"/>
    <w:bookmarkStart w:id="18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8"/>
    <w:bookmarkEnd w:id="19"/>
    <w:bookmarkStart w:id="2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it does not prove that PCA is</w:t>
      </w:r>
      <w:r>
        <w:t xml:space="preserve"> </w:t>
      </w:r>
      <w:r>
        <w:t xml:space="preserve">intrinsically optimal, that the effect transfers across regions, or that the</w:t>
      </w:r>
      <w:r>
        <w:t xml:space="preserve"> </w:t>
      </w:r>
      <w:r>
        <w:t xml:space="preserve">policy has learned agronomic suitability semantics. The positive claim is about</w:t>
      </w:r>
      <w:r>
        <w:t xml:space="preserve"> </w:t>
      </w:r>
      <w:r>
        <w:t xml:space="preserve">state representation under a deterministic base planning reward, not about a</w:t>
      </w:r>
      <w:r>
        <w:t xml:space="preserve"> </w:t>
      </w:r>
      <w:r>
        <w:t xml:space="preserve">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reward. The appropriate current conclusion</w:t>
      </w:r>
      <w:r>
        <w:t xml:space="preserve"> </w:t>
      </w:r>
      <w:r>
        <w:t xml:space="preserve">is therefore not that GeoFM fails, but that GeoFM must be represented through a</w:t>
      </w:r>
      <w:r>
        <w:t xml:space="preserve"> </w:t>
      </w:r>
      <w:r>
        <w:t xml:space="preserve">controlled compressed state route before it improves the learned planning</w:t>
      </w:r>
      <w:r>
        <w:t xml:space="preserve"> </w:t>
      </w:r>
      <w:r>
        <w:t xml:space="preserve">policy in this setting. 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0"/>
    <w:bookmarkStart w:id="2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1"/>
    <w:bookmarkStart w:id="2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2"/>
    <w:bookmarkStart w:id="23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2026-07-07T01:37:25Z</dcterms:created>
  <dcterms:modified xsi:type="dcterms:W3CDTF">2026-07-07T01:37:25Z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