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Phase 49 further shows that this compressed</w:t>
      </w:r>
      <w:r>
        <w:t xml:space="preserve"> </w:t>
      </w:r>
      <w:r>
        <w:t xml:space="preserve">route is statistically robust in the current Bishan protocol, with pooled</w:t>
      </w:r>
      <w:r>
        <w:t xml:space="preserve"> </w:t>
      </w:r>
      <w:r>
        <w:t xml:space="preserve">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</w:t>
      </w:r>
      <w:r>
        <w:t xml:space="preserve"> </w:t>
      </w:r>
      <w:r>
        <w:t xml:space="preserve">Suitability-reward and B2/B3 claims remain blocked by independent-label and</w:t>
      </w:r>
      <w:r>
        <w:t xml:space="preserve"> </w:t>
      </w:r>
      <w:r>
        <w:t xml:space="preserve">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 and remain</w:t>
      </w:r>
      <w:r>
        <w:t xml:space="preserve"> </w:t>
      </w:r>
      <w:r>
        <w:t xml:space="preserve">positive under Phase 49 robustness checks, while raw GeoFM state injection and</w:t>
      </w:r>
      <w:r>
        <w:t xml:space="preserve"> </w:t>
      </w:r>
      <w:r>
        <w:t xml:space="preserve">the current suitability-reward route remain unsupported under the completed</w:t>
      </w:r>
      <w:r>
        <w:t xml:space="preserve"> </w:t>
      </w:r>
      <w:r>
        <w:t xml:space="preserve">Paper11 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2026-07-07T02:54:51Z</dcterms:created>
  <dcterms:modified xsi:type="dcterms:W3CDTF">2026-07-07T02:54:51Z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