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Phase 49 further shows that this compressed</w:t>
      </w:r>
      <w:r>
        <w:t xml:space="preserve"> </w:t>
      </w:r>
      <w:r>
        <w:t xml:space="preserve">route is statistically robust in the current Bishan protocol, with pooled</w:t>
      </w:r>
      <w:r>
        <w:t xml:space="preserve"> </w:t>
      </w:r>
      <w:r>
        <w:t xml:space="preserve">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</w:t>
      </w:r>
      <w:r>
        <w:t xml:space="preserve"> </w:t>
      </w:r>
      <w:r>
        <w:t xml:space="preserve">Phase 50 provides a conservative cluster-level boundary:</w:t>
      </w:r>
      <w:r>
        <w:t xml:space="preserve"> 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tile-seed</w:t>
      </w:r>
      <w:r>
        <w:t xml:space="preserve"> </w:t>
      </w:r>
      <w:r>
        <w:t xml:space="preserve">clusters are positive, the cluster sign-test p is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, and Phase 51 exact signed-rank testing supports the cluster magnitude 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  <w:r>
        <w:t xml:space="preserve"> </w:t>
      </w:r>
      <w:r>
        <w:t xml:space="preserve">Phase 52 expands the same six-variant protocol to five held-out tiles and three</w:t>
      </w:r>
      <w:r>
        <w:t xml:space="preserve"> </w:t>
      </w:r>
      <w:r>
        <w:t xml:space="preserve">seeds, again supporting the compressed 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supports the</w:t>
      </w:r>
      <w:r>
        <w:t xml:space="preserve"> </w:t>
      </w:r>
      <w:r>
        <w:t xml:space="preserve">expanded cluster mean with exact sign-flip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 positive leave-one cluster, tile, and seed</w:t>
      </w:r>
      <w:r>
        <w:t xml:space="preserve"> </w:t>
      </w:r>
      <w:r>
        <w:t xml:space="preserve">means. Phase 54 reports</w:t>
      </w:r>
      <w:r>
        <w:t xml:space="preserve"> </w:t>
      </w:r>
      <w:r>
        <w:rPr>
          <w:rStyle w:val="VerbatimChar"/>
        </w:rPr>
        <w:t xml:space="preserve">artifact_lineage_consistent</w:t>
      </w:r>
      <w:r>
        <w:t xml:space="preserve">, verifying that the formal</w:t>
      </w:r>
      <w:r>
        <w:t xml:space="preserve"> </w:t>
      </w:r>
      <w:r>
        <w:t xml:space="preserve">Phase 52/53 values come from one authoritative artifact chain. Suitability-reward</w:t>
      </w:r>
      <w:r>
        <w:t xml:space="preserve"> </w:t>
      </w:r>
      <w:r>
        <w:t xml:space="preserve">and B2/B3 claims remain blocked by independent-label and 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 and remain</w:t>
      </w:r>
      <w:r>
        <w:t xml:space="preserve"> </w:t>
      </w:r>
      <w:r>
        <w:t xml:space="preserve">positive under Phase 49 robustness checks and Phase 52 expanded replication,</w:t>
      </w:r>
      <w:r>
        <w:t xml:space="preserve"> </w:t>
      </w:r>
      <w:r>
        <w:t xml:space="preserve">with Phase 50 and Phase 52 cluster-level evidence remaining directional by sign</w:t>
      </w:r>
      <w:r>
        <w:t xml:space="preserve"> </w:t>
      </w:r>
      <w:r>
        <w:t xml:space="preserve">test but supported by signed-rank magnitude testing and Phase 53 cluster-mean</w:t>
      </w:r>
      <w:r>
        <w:t xml:space="preserve"> </w:t>
      </w:r>
      <w:r>
        <w:t xml:space="preserve">influence checks. Phase 54 verifies the formal artifact lineage. Raw GeoFM state</w:t>
      </w:r>
      <w:r>
        <w:t xml:space="preserve"> </w:t>
      </w:r>
      <w:r>
        <w:t xml:space="preserve">injection and the current suitability-reward route remain unsupported under the</w:t>
      </w:r>
      <w:r>
        <w:t xml:space="preserve"> </w:t>
      </w:r>
      <w:r>
        <w:t xml:space="preserve">completed Paper11 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2026-07-07T08:04:42Z</dcterms:created>
  <dcterms:modified xsi:type="dcterms:W3CDTF">2026-07-07T08:04:42Z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