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paper11-cover-letter-and-declarations"/>
    <w:p>
      <w:pPr>
        <w:pStyle w:val="Heading1"/>
      </w:pPr>
      <w:r>
        <w:t xml:space="preserve">Paper11 Cover Letter and Declarations</w:t>
      </w:r>
    </w:p>
    <w:bookmarkStart w:id="9" w:name="cover-letter-draft"/>
    <w:p>
      <w:pPr>
        <w:pStyle w:val="Heading2"/>
      </w:pPr>
      <w:r>
        <w:t xml:space="preserve">Cover Letter Draft</w:t>
      </w:r>
    </w:p>
    <w:p>
      <w:pPr>
        <w:pStyle w:val="FirstParagraph"/>
      </w:pPr>
      <w:r>
        <w:t xml:space="preserve">Dear Editor,</w:t>
      </w:r>
    </w:p>
    <w:p>
      <w:pPr>
        <w:pStyle w:val="BodyText"/>
      </w:pPr>
      <w:r>
        <w:t xml:space="preserve">We submit the manuscript entitled</w:t>
      </w:r>
      <w:r>
        <w:t xml:space="preserve"> </w:t>
      </w:r>
      <w:r>
        <w:t xml:space="preserve">“Compressed GeoFM representations improve</w:t>
      </w:r>
      <w:r>
        <w:t xml:space="preserve"> </w:t>
      </w:r>
      <w:r>
        <w:t xml:space="preserve">held-out farmland layout optimization under evidence gates”</w:t>
      </w:r>
      <w:r>
        <w:t xml:space="preserve"> </w:t>
      </w:r>
      <w:r>
        <w:t xml:space="preserve">for consideration</w:t>
      </w:r>
      <w:r>
        <w:t xml:space="preserve"> </w:t>
      </w:r>
      <w:r>
        <w:t xml:space="preserve">in International Journal of Applied Earth Observation and Geoinformation. The</w:t>
      </w:r>
      <w:r>
        <w:t xml:space="preserve"> </w:t>
      </w:r>
      <w:r>
        <w:t xml:space="preserve">manuscript examines whether geospatial foundation-model (GeoFM) embeddings can</w:t>
      </w:r>
      <w:r>
        <w:t xml:space="preserve"> </w:t>
      </w:r>
      <w:r>
        <w:t xml:space="preserve">serve as controlled state representations for reinforcement-learning farmland</w:t>
      </w:r>
      <w:r>
        <w:t xml:space="preserve"> </w:t>
      </w:r>
      <w:r>
        <w:t xml:space="preserve">layout optimization.</w:t>
      </w:r>
    </w:p>
    <w:p>
      <w:pPr>
        <w:pStyle w:val="BodyText"/>
      </w:pPr>
      <w:r>
        <w:t xml:space="preserve">The study reports a reproducible Bishan case-study workflow that links</w:t>
      </w:r>
      <w:r>
        <w:t xml:space="preserve"> </w:t>
      </w:r>
      <w:r>
        <w:t xml:space="preserve">AlphaEarth embeddings to real DLTB planning blocks and evaluates GeoFM-enhanced</w:t>
      </w:r>
      <w:r>
        <w:t xml:space="preserve"> </w:t>
      </w:r>
      <w:r>
        <w:t xml:space="preserve">representations under held-out reinforcement-learning planning protocols,</w:t>
      </w:r>
      <w:r>
        <w:t xml:space="preserve"> </w:t>
      </w:r>
      <w:r>
        <w:t xml:space="preserve">representation controls, suitability-proxy diagnostics, independent-label gates,</w:t>
      </w:r>
      <w:r>
        <w:t xml:space="preserve"> </w:t>
      </w:r>
      <w:r>
        <w:t xml:space="preserve">and a calibrated-prior gate. The central finding is positive but bounded. Raw</w:t>
      </w:r>
      <w:r>
        <w:t xml:space="preserve"> </w:t>
      </w:r>
      <w:r>
        <w:t xml:space="preserve">64-dimensional GeoFM direct injection does not stably outperform</w:t>
      </w:r>
      <w:r>
        <w:t xml:space="preserve"> </w:t>
      </w:r>
      <w:r>
        <w:t xml:space="preserve">explicit-feature B0, but Phase 48 shows that compressed GeoFM state routes</w:t>
      </w:r>
      <w:r>
        <w:t xml:space="preserve"> </w:t>
      </w:r>
      <w:r>
        <w:t xml:space="preserve">D4P8 and D4P16 outperform B0, raw B1, random D2, and shuffled D3 on mean</w:t>
      </w:r>
      <w:r>
        <w:t xml:space="preserve"> </w:t>
      </w:r>
      <w:r>
        <w:t xml:space="preserve">held-out base-reward policy reward. Phase 49 further shows that this compressed</w:t>
      </w:r>
      <w:r>
        <w:t xml:space="preserve"> </w:t>
      </w:r>
      <w:r>
        <w:t xml:space="preserve">route is statistically robust in the current Bishan protocol, with pooled</w:t>
      </w:r>
      <w:r>
        <w:t xml:space="preserve"> </w:t>
      </w:r>
      <w:r>
        <w:t xml:space="preserve">sign-test p</w:t>
      </w:r>
      <w:r>
        <w:t xml:space="preserve"> </w:t>
      </w:r>
      <w:r>
        <w:rPr>
          <w:rStyle w:val="VerbatimChar"/>
        </w:rPr>
        <w:t xml:space="preserve">0.0031549137</w:t>
      </w:r>
      <w:r>
        <w:t xml:space="preserve"> </w:t>
      </w:r>
      <w:r>
        <w:t xml:space="preserve">and bootstrap CI95</w:t>
      </w:r>
      <w:r>
        <w:t xml:space="preserve"> </w:t>
      </w:r>
      <w:r>
        <w:rPr>
          <w:rStyle w:val="VerbatimChar"/>
        </w:rPr>
        <w:t xml:space="preserve">[0.2827829983, 0.6639974489]</w:t>
      </w:r>
      <w:r>
        <w:t xml:space="preserve">.</w:t>
      </w:r>
      <w:r>
        <w:t xml:space="preserve"> </w:t>
      </w:r>
      <w:r>
        <w:t xml:space="preserve">Phase 50 provides a conservative cluster-level boundary:</w:t>
      </w:r>
      <w:r>
        <w:t xml:space="preserve"> </w:t>
      </w:r>
      <w:r>
        <w:rPr>
          <w:rStyle w:val="VerbatimChar"/>
        </w:rPr>
        <w:t xml:space="preserve">7 / 9</w:t>
      </w:r>
      <w:r>
        <w:t xml:space="preserve"> </w:t>
      </w:r>
      <w:r>
        <w:t xml:space="preserve">tile-seed</w:t>
      </w:r>
      <w:r>
        <w:t xml:space="preserve"> </w:t>
      </w:r>
      <w:r>
        <w:t xml:space="preserve">clusters are positive, the cluster sign-test p is</w:t>
      </w:r>
      <w:r>
        <w:t xml:space="preserve"> </w:t>
      </w:r>
      <w:r>
        <w:rPr>
          <w:rStyle w:val="VerbatimChar"/>
        </w:rPr>
        <w:t xml:space="preserve">0.08984375</w:t>
      </w:r>
      <w:r>
        <w:t xml:space="preserve">, and Phase 51 exact signed-rank testing supports the cluster magnitude effect with p</w:t>
      </w:r>
      <w:r>
        <w:t xml:space="preserve"> </w:t>
      </w:r>
      <w:r>
        <w:rPr>
          <w:rStyle w:val="VerbatimChar"/>
        </w:rPr>
        <w:t xml:space="preserve">0.01953125</w:t>
      </w:r>
      <w:r>
        <w:t xml:space="preserve">.</w:t>
      </w:r>
      <w:r>
        <w:t xml:space="preserve"> </w:t>
      </w:r>
      <w:r>
        <w:t xml:space="preserve">Suitability-reward and B2/B3 claims remain blocked by independent-label and</w:t>
      </w:r>
      <w:r>
        <w:t xml:space="preserve"> </w:t>
      </w:r>
      <w:r>
        <w:t xml:space="preserve">calibrated-prior gates.</w:t>
      </w:r>
    </w:p>
    <w:p>
      <w:pPr>
        <w:pStyle w:val="BodyText"/>
      </w:pPr>
      <w:r>
        <w:t xml:space="preserve">This manuscript should be relevant to readers of IJAEOG because it provides a</w:t>
      </w:r>
      <w:r>
        <w:t xml:space="preserve"> </w:t>
      </w:r>
      <w:r>
        <w:t xml:space="preserve">reproducible test for using Earth-observation foundation-model embeddings in</w:t>
      </w:r>
      <w:r>
        <w:t xml:space="preserve"> </w:t>
      </w:r>
      <w:r>
        <w:t xml:space="preserve">operational land-use optimization. Rather than assuming that a semantically</w:t>
      </w:r>
      <w:r>
        <w:t xml:space="preserve"> </w:t>
      </w:r>
      <w:r>
        <w:t xml:space="preserve">rich remote-sensing embedding is automatically a validated suitability variable,</w:t>
      </w:r>
      <w:r>
        <w:t xml:space="preserve"> </w:t>
      </w:r>
      <w:r>
        <w:t xml:space="preserve">the study shows that representation design is decisive: compressed GeoFM state</w:t>
      </w:r>
      <w:r>
        <w:t xml:space="preserve"> </w:t>
      </w:r>
      <w:r>
        <w:t xml:space="preserve">inputs support the base-reward planning policy, while raw injection and</w:t>
      </w:r>
      <w:r>
        <w:t xml:space="preserve"> </w:t>
      </w:r>
      <w:r>
        <w:t xml:space="preserve">suitability-reward routes require stricter evidence.</w:t>
      </w:r>
    </w:p>
    <w:p>
      <w:pPr>
        <w:pStyle w:val="BodyText"/>
      </w:pPr>
      <w:r>
        <w:t xml:space="preserve">The manuscript is original and is not under consideration elsewhere. All authors</w:t>
      </w:r>
      <w:r>
        <w:t xml:space="preserve"> </w:t>
      </w:r>
      <w:r>
        <w:t xml:space="preserve">must confirm authorship, approval of the final manuscript, funding statements,</w:t>
      </w:r>
      <w:r>
        <w:t xml:space="preserve"> </w:t>
      </w:r>
      <w:r>
        <w:t xml:space="preserve">competing interests, data availability wording, and journal-specific disclosure</w:t>
      </w:r>
      <w:r>
        <w:t xml:space="preserve"> </w:t>
      </w:r>
      <w:r>
        <w:t xml:space="preserve">requirements before upload.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[corresponding author name and contact information required]</w:t>
      </w:r>
      <w:r>
        <w:t xml:space="preserve"> </w:t>
      </w:r>
      <w:r>
        <w:t xml:space="preserve">## Declaration of Competing Interest</w:t>
      </w:r>
    </w:p>
    <w:p>
      <w:pPr>
        <w:pStyle w:val="BodyText"/>
      </w:pPr>
      <w:r>
        <w:t xml:space="preserve">The authors declare that they have no known competing financial interests or</w:t>
      </w:r>
      <w:r>
        <w:t xml:space="preserve"> </w:t>
      </w:r>
      <w:r>
        <w:t xml:space="preserve">personal relationships that could have appeared to influence the work reported</w:t>
      </w:r>
      <w:r>
        <w:t xml:space="preserve"> </w:t>
      </w:r>
      <w:r>
        <w:t xml:space="preserve">in this paper.</w:t>
      </w:r>
    </w:p>
    <w:p>
      <w:pPr>
        <w:pStyle w:val="BodyText"/>
      </w:pPr>
      <w:r>
        <w:t xml:space="preserve">Author confirmation is required before submission.</w:t>
      </w:r>
    </w:p>
    <w:bookmarkEnd w:id="9"/>
    <w:bookmarkStart w:id="10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[author-supplied funding statement required]</w:t>
      </w:r>
    </w:p>
    <w:bookmarkEnd w:id="10"/>
    <w:bookmarkStart w:id="11" w:name="author-contributions"/>
    <w:p>
      <w:pPr>
        <w:pStyle w:val="Heading2"/>
      </w:pPr>
      <w:r>
        <w:t xml:space="preserve">Author Contributions</w:t>
      </w:r>
    </w:p>
    <w:p>
      <w:pPr>
        <w:pStyle w:val="FirstParagraph"/>
      </w:pPr>
      <w:r>
        <w:t xml:space="preserve">[author-supplied CRediT author contribution statement required]</w:t>
      </w:r>
    </w:p>
    <w:bookmarkEnd w:id="11"/>
    <w:bookmarkStart w:id="12" w:name="ethics-statement"/>
    <w:p>
      <w:pPr>
        <w:pStyle w:val="Heading2"/>
      </w:pPr>
      <w:r>
        <w:t xml:space="preserve">Ethics Statement</w:t>
      </w:r>
    </w:p>
    <w:p>
      <w:pPr>
        <w:pStyle w:val="FirstParagraph"/>
      </w:pPr>
      <w:r>
        <w:t xml:space="preserve">This study uses remote-sensing and land-use planning data and does not involve</w:t>
      </w:r>
      <w:r>
        <w:t xml:space="preserve"> </w:t>
      </w:r>
      <w:r>
        <w:t xml:space="preserve">human participants, human tissue, animal experiments, or private personal data.</w:t>
      </w:r>
      <w:r>
        <w:t xml:space="preserve"> </w:t>
      </w:r>
      <w:r>
        <w:t xml:space="preserve">Author confirmation is required before submission.</w:t>
      </w:r>
    </w:p>
    <w:bookmarkEnd w:id="12"/>
    <w:bookmarkStart w:id="13" w:name="data-availability"/>
    <w:p>
      <w:pPr>
        <w:pStyle w:val="Heading2"/>
      </w:pPr>
      <w:r>
        <w:t xml:space="preserve">Data Availability</w:t>
      </w:r>
    </w:p>
    <w:p>
      <w:pPr>
        <w:pStyle w:val="FirstParagraph"/>
      </w:pPr>
      <w:r>
        <w:t xml:space="preserve">The lightweight Bishan AlphaEarth sample arrays, code, reproduction scripts,</w:t>
      </w:r>
      <w:r>
        <w:t xml:space="preserve"> </w:t>
      </w:r>
      <w:r>
        <w:t xml:space="preserve">and file manifests needed for reviewer smoke tests are available in the project</w:t>
      </w:r>
      <w:r>
        <w:t xml:space="preserve"> </w:t>
      </w:r>
      <w:r>
        <w:t xml:space="preserve">repository:</w:t>
      </w:r>
    </w:p>
    <w:p>
      <w:pPr>
        <w:pStyle w:val="SourceCode"/>
      </w:pPr>
      <w:r>
        <w:rPr>
          <w:rStyle w:val="VerbatimChar"/>
        </w:rPr>
        <w:t xml:space="preserve">https://github.com/zhouning/paper11-geofm-farmland-suitability-rl</w:t>
      </w:r>
    </w:p>
    <w:p>
      <w:pPr>
        <w:pStyle w:val="FirstParagraph"/>
      </w:pPr>
      <w:r>
        <w:t xml:space="preserve">The final submitted version should cite a release tag, immutable commit hash,</w:t>
      </w:r>
      <w:r>
        <w:t xml:space="preserve"> </w:t>
      </w:r>
      <w:r>
        <w:t xml:space="preserve">or archive DOI. Large derived arrays, trained weights, and full external data</w:t>
      </w:r>
      <w:r>
        <w:t xml:space="preserve"> </w:t>
      </w:r>
      <w:r>
        <w:t xml:space="preserve">products not included in ordinary Git should be deposited in an external archive</w:t>
      </w:r>
      <w:r>
        <w:t xml:space="preserve"> </w:t>
      </w:r>
      <w:r>
        <w:t xml:space="preserve">before final submission, with checksums and access instructions. The real Bishan</w:t>
      </w:r>
      <w:r>
        <w:t xml:space="preserve"> </w:t>
      </w:r>
      <w:r>
        <w:t xml:space="preserve">DLTB-with-slope GeoPackage used for local Phase 11 reproduction is an external</w:t>
      </w:r>
      <w:r>
        <w:t xml:space="preserve"> </w:t>
      </w:r>
      <w:r>
        <w:t xml:space="preserve">source and is not redistributed in this repository. The final availability</w:t>
      </w:r>
      <w:r>
        <w:t xml:space="preserve"> </w:t>
      </w:r>
      <w:r>
        <w:t xml:space="preserve">wording must state whether that source can be shared, requested, or reproduced</w:t>
      </w:r>
      <w:r>
        <w:t xml:space="preserve"> </w:t>
      </w:r>
      <w:r>
        <w:t xml:space="preserve">only by authorized users.</w:t>
      </w:r>
    </w:p>
    <w:bookmarkEnd w:id="13"/>
    <w:bookmarkStart w:id="14" w:name="code-availability"/>
    <w:p>
      <w:pPr>
        <w:pStyle w:val="Heading2"/>
      </w:pPr>
      <w:r>
        <w:t xml:space="preserve">Code Availability</w:t>
      </w:r>
    </w:p>
    <w:p>
      <w:pPr>
        <w:pStyle w:val="FirstParagraph"/>
      </w:pPr>
      <w:r>
        <w:t xml:space="preserve">All reviewer-facing code is maintained in the Paper11 repository:</w:t>
      </w:r>
    </w:p>
    <w:p>
      <w:pPr>
        <w:pStyle w:val="SourceCode"/>
      </w:pPr>
      <w:r>
        <w:rPr>
          <w:rStyle w:val="VerbatimChar"/>
        </w:rPr>
        <w:t xml:space="preserve">https://github.com/zhouning/paper11-geofm-farmland-suitability-rl</w:t>
      </w:r>
    </w:p>
    <w:p>
      <w:pPr>
        <w:pStyle w:val="FirstParagraph"/>
      </w:pPr>
      <w:r>
        <w:t xml:space="preserve">The final submitted version should cite a release tag, immutable commit hash,</w:t>
      </w:r>
      <w:r>
        <w:t xml:space="preserve"> </w:t>
      </w:r>
      <w:r>
        <w:t xml:space="preserve">or archive DOI.</w:t>
      </w:r>
    </w:p>
    <w:bookmarkEnd w:id="14"/>
    <w:bookmarkStart w:id="15" w:name="ai-assisted-tools-statement"/>
    <w:p>
      <w:pPr>
        <w:pStyle w:val="Heading2"/>
      </w:pPr>
      <w:r>
        <w:t xml:space="preserve">AI-Assisted Tools Statement</w:t>
      </w:r>
    </w:p>
    <w:p>
      <w:pPr>
        <w:pStyle w:val="FirstParagraph"/>
      </w:pPr>
      <w:r>
        <w:t xml:space="preserve">AI-assisted tools were used for language editing, code assistance, and</w:t>
      </w:r>
      <w:r>
        <w:t xml:space="preserve"> </w:t>
      </w:r>
      <w:r>
        <w:t xml:space="preserve">submission-preparation drafting. All scientific claims, code outputs,</w:t>
      </w:r>
      <w:r>
        <w:t xml:space="preserve"> </w:t>
      </w:r>
      <w:r>
        <w:t xml:space="preserve">references, data interpretations, and manuscript text must be checked and</w:t>
      </w:r>
      <w:r>
        <w:t xml:space="preserve"> </w:t>
      </w:r>
      <w:r>
        <w:t xml:space="preserve">approved by the authors before submission. The final wording should be revised</w:t>
      </w:r>
      <w:r>
        <w:t xml:space="preserve"> </w:t>
      </w:r>
      <w:r>
        <w:t xml:space="preserve">to match the selected journal policy and the authors’ actual use.</w:t>
      </w:r>
    </w:p>
    <w:bookmarkEnd w:id="15"/>
    <w:bookmarkStart w:id="16" w:name="claim-boundary-for-upload"/>
    <w:p>
      <w:pPr>
        <w:pStyle w:val="Heading2"/>
      </w:pPr>
      <w:r>
        <w:t xml:space="preserve">Claim Boundary for Upload</w:t>
      </w:r>
    </w:p>
    <w:p>
      <w:pPr>
        <w:pStyle w:val="FirstParagraph"/>
      </w:pPr>
      <w:r>
        <w:t xml:space="preserve">This submission package supports a bounded positive compressed-GeoFM</w:t>
      </w:r>
      <w:r>
        <w:t xml:space="preserve"> </w:t>
      </w:r>
      <w:r>
        <w:t xml:space="preserve">representation manuscript. It does not support claims of raw GeoFM B1</w:t>
      </w:r>
      <w:r>
        <w:t xml:space="preserve"> </w:t>
      </w:r>
      <w:r>
        <w:t xml:space="preserve">superiority, B2/B3 readiness, suitability-reward improvement, cross-region</w:t>
      </w:r>
      <w:r>
        <w:t xml:space="preserve"> </w:t>
      </w:r>
      <w:r>
        <w:t xml:space="preserve">transfer, or independently validated agronomic suitability. The current</w:t>
      </w:r>
      <w:r>
        <w:t xml:space="preserve"> </w:t>
      </w:r>
      <w:r>
        <w:t xml:space="preserve">defensible conclusion is that compressed GeoFM state routes improve mean</w:t>
      </w:r>
      <w:r>
        <w:t xml:space="preserve"> </w:t>
      </w:r>
      <w:r>
        <w:t xml:space="preserve">held-out base-reward policy reward under the Bishan protocol and remain</w:t>
      </w:r>
      <w:r>
        <w:t xml:space="preserve"> </w:t>
      </w:r>
      <w:r>
        <w:t xml:space="preserve">positive under Phase 49 robustness checks, with Phase 50 cluster-level evidence</w:t>
      </w:r>
      <w:r>
        <w:t xml:space="preserve"> </w:t>
      </w:r>
      <w:r>
        <w:t xml:space="preserve">remaining directional by sign test but supported by Phase 51 signed-rank magnitude testing, while raw GeoFM state</w:t>
      </w:r>
      <w:r>
        <w:t xml:space="preserve"> </w:t>
      </w:r>
      <w:r>
        <w:t xml:space="preserve">injection and</w:t>
      </w:r>
      <w:r>
        <w:t xml:space="preserve"> </w:t>
      </w:r>
      <w:r>
        <w:t xml:space="preserve">the current suitability-reward route remain unsupported under the completed</w:t>
      </w:r>
      <w:r>
        <w:t xml:space="preserve"> </w:t>
      </w:r>
      <w:r>
        <w:t xml:space="preserve">Paper11 evidence gates.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2026-07-07T03:44:23Z</dcterms:created>
  <dcterms:modified xsi:type="dcterms:W3CDTF">2026-07-07T03:44:23Z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