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“Compressed GeoFM representations improve</w:t>
      </w:r>
      <w:r>
        <w:t xml:space="preserve"> </w:t>
      </w:r>
      <w:r>
        <w:t xml:space="preserve">held-out farmland layout optimization under evidence gates”</w:t>
      </w:r>
      <w:r>
        <w:t xml:space="preserve"> </w:t>
      </w:r>
      <w:r>
        <w:t xml:space="preserve">for consideration</w:t>
      </w:r>
      <w:r>
        <w:t xml:space="preserve"> </w:t>
      </w:r>
      <w:r>
        <w:t xml:space="preserve">in International Journal of Applied Earth Observation and Geoinformation. The</w:t>
      </w:r>
      <w:r>
        <w:t xml:space="preserve"> </w:t>
      </w:r>
      <w:r>
        <w:t xml:space="preserve">manuscript examines whether geospatial foundation-model (GeoFM) embeddings can</w:t>
      </w:r>
      <w:r>
        <w:t xml:space="preserve"> </w:t>
      </w:r>
      <w:r>
        <w:t xml:space="preserve">serve as controlled state representations for reinforcement-learning farmland</w:t>
      </w:r>
      <w:r>
        <w:t xml:space="preserve"> </w:t>
      </w:r>
      <w:r>
        <w:t xml:space="preserve">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positive but bounded. Raw</w:t>
      </w:r>
      <w:r>
        <w:t xml:space="preserve"> </w:t>
      </w:r>
      <w:r>
        <w:t xml:space="preserve">64-dimensional GeoFM direct injection does not stably outperform</w:t>
      </w:r>
      <w:r>
        <w:t xml:space="preserve"> </w:t>
      </w:r>
      <w:r>
        <w:t xml:space="preserve">explicit-feature B0, but Phase 48 shows that compressed GeoFM state routes</w:t>
      </w:r>
      <w:r>
        <w:t xml:space="preserve"> </w:t>
      </w:r>
      <w:r>
        <w:t xml:space="preserve">D4P8 and D4P16 outperform B0, raw B1, random D2, and shuffled D3 on mean</w:t>
      </w:r>
      <w:r>
        <w:t xml:space="preserve"> </w:t>
      </w:r>
      <w:r>
        <w:t xml:space="preserve">held-out base-reward policy reward. Phase 49 further shows that this compressed</w:t>
      </w:r>
      <w:r>
        <w:t xml:space="preserve"> </w:t>
      </w:r>
      <w:r>
        <w:t xml:space="preserve">route is statistically robust in the current Bishan protocol, with pooled</w:t>
      </w:r>
      <w:r>
        <w:t xml:space="preserve"> </w:t>
      </w:r>
      <w:r>
        <w:t xml:space="preserve">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</w:t>
      </w:r>
      <w:r>
        <w:t xml:space="preserve"> </w:t>
      </w:r>
      <w:r>
        <w:t xml:space="preserve">Phase 50 provides a conservative cluster-level boundary:</w:t>
      </w:r>
      <w:r>
        <w:t xml:space="preserve"> 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tile-seed</w:t>
      </w:r>
      <w:r>
        <w:t xml:space="preserve"> </w:t>
      </w:r>
      <w:r>
        <w:t xml:space="preserve">clusters are positive, the cluster sign-test p is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, and Phase 51 exact signed-rank testing supports the cluster magnitude 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  <w:r>
        <w:t xml:space="preserve"> </w:t>
      </w:r>
      <w:r>
        <w:t xml:space="preserve">Phase 52 expands the same six-variant protocol to five held-out tiles and three</w:t>
      </w:r>
      <w:r>
        <w:t xml:space="preserve"> </w:t>
      </w:r>
      <w:r>
        <w:t xml:space="preserve">seeds, again supporting the compressed route with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 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Suitability-reward</w:t>
      </w:r>
      <w:r>
        <w:t xml:space="preserve"> </w:t>
      </w:r>
      <w:r>
        <w:t xml:space="preserve">and B2/B3 claims remain blocked by independent-label and 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test for using Earth-observation foundation-model embeddings in</w:t>
      </w:r>
      <w:r>
        <w:t xml:space="preserve"> </w:t>
      </w:r>
      <w:r>
        <w:t xml:space="preserve">operational land-use optimization. Rather than assuming that a semantically</w:t>
      </w:r>
      <w:r>
        <w:t xml:space="preserve"> </w:t>
      </w:r>
      <w:r>
        <w:t xml:space="preserve">rich remote-sensing embedding is automatically a validated suitability variable,</w:t>
      </w:r>
      <w:r>
        <w:t xml:space="preserve"> </w:t>
      </w:r>
      <w:r>
        <w:t xml:space="preserve">the study shows that representation design is decisive: compressed GeoFM state</w:t>
      </w:r>
      <w:r>
        <w:t xml:space="preserve"> </w:t>
      </w:r>
      <w:r>
        <w:t xml:space="preserve">inputs support the base-reward planning policy, while raw injection and</w:t>
      </w:r>
      <w:r>
        <w:t xml:space="preserve"> </w:t>
      </w:r>
      <w:r>
        <w:t xml:space="preserve">suitability-reward routes require stricter evidence.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  <w:r>
        <w:t xml:space="preserve"> </w:t>
      </w:r>
      <w:r>
        <w:t xml:space="preserve">## Declaration of Competing Interest</w:t>
      </w:r>
    </w:p>
    <w:p>
      <w:pPr>
        <w:pStyle w:val="BodyText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1"/>
    <w:bookmarkStart w:id="12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2"/>
    <w:bookmarkStart w:id="1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3"/>
    <w:bookmarkStart w:id="1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4"/>
    <w:bookmarkStart w:id="15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5"/>
    <w:bookmarkStart w:id="16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a bounded positive compressed-GeoFM</w:t>
      </w:r>
      <w:r>
        <w:t xml:space="preserve"> </w:t>
      </w:r>
      <w:r>
        <w:t xml:space="preserve">representation manuscript. It does not support claims of raw GeoFM B1</w:t>
      </w:r>
      <w:r>
        <w:t xml:space="preserve"> </w:t>
      </w:r>
      <w:r>
        <w:t xml:space="preserve">superiority, B2/B3 readiness, suitability-reward improvement, cross-region</w:t>
      </w:r>
      <w:r>
        <w:t xml:space="preserve"> </w:t>
      </w:r>
      <w:r>
        <w:t xml:space="preserve">transfer, or independently validated agronomic suitability. The current</w:t>
      </w:r>
      <w:r>
        <w:t xml:space="preserve"> </w:t>
      </w:r>
      <w:r>
        <w:t xml:space="preserve">defensible conclusion is that compressed GeoFM state routes improve mean</w:t>
      </w:r>
      <w:r>
        <w:t xml:space="preserve"> </w:t>
      </w:r>
      <w:r>
        <w:t xml:space="preserve">held-out base-reward policy reward under the Bishan protocol and remain</w:t>
      </w:r>
      <w:r>
        <w:t xml:space="preserve"> </w:t>
      </w:r>
      <w:r>
        <w:t xml:space="preserve">positive under Phase 49 robustness checks and Phase 52 expanded replication,</w:t>
      </w:r>
      <w:r>
        <w:t xml:space="preserve"> </w:t>
      </w:r>
      <w:r>
        <w:t xml:space="preserve">with Phase 50 and Phase 52 cluster-level evidence remaining directional by sign</w:t>
      </w:r>
      <w:r>
        <w:t xml:space="preserve"> </w:t>
      </w:r>
      <w:r>
        <w:t xml:space="preserve">test but supported by signed-rank magnitude testing, while raw GeoFM state</w:t>
      </w:r>
      <w:r>
        <w:t xml:space="preserve"> </w:t>
      </w:r>
      <w:r>
        <w:t xml:space="preserve">injection and the current suitability-reward route remain unsupported under the</w:t>
      </w:r>
      <w:r>
        <w:t xml:space="preserve"> </w:t>
      </w:r>
      <w:r>
        <w:t xml:space="preserve">completed Paper11 evidence gates.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2026-07-07T06:34:44Z</dcterms:created>
  <dcterms:modified xsi:type="dcterms:W3CDTF">2026-07-07T06:34:44Z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