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Causally Calibrated Model-Based Reinforcement Learning for Farmland Consolidation via Learned Environment Dynamics</w:t>
      </w:r>
    </w:p>
    <w:p>
      <w:pPr>
        <w:jc w:val="center"/>
      </w:pPr>
      <w:r>
        <w:t>Ning Zhou, Xiang Jing*</w:t>
      </w:r>
    </w:p>
    <w:p>
      <w:pPr>
        <w:jc w:val="center"/>
      </w:pPr>
      <w:r>
        <w:t>School of Software and Microelectronics, Peking University, Beijing 100871, China</w:t>
      </w:r>
    </w:p>
    <w:p>
      <w:pPr>
        <w:jc w:val="center"/>
      </w:pPr>
      <w:r>
        <w:t>* Corresponding author: jingxiang@pku.edu.cn</w:t>
      </w:r>
    </w:p>
    <w:p>
      <w:pPr>
        <w:pStyle w:val="Heading1"/>
      </w:pPr>
      <w:r>
        <w:t>Abstract</w:t>
      </w:r>
    </w:p>
    <w:p>
      <w:r>
        <w:t>Deep reinforcement learning (DRL) for spatial planning requires expensive environment interactions—county-level farmland consolidation optimization demands 8–12 hours on A100 GPUs per training run, with 40% of runs failing due to policy drift toward reward model exploitation. We propose a model-based approach that replaces the real environment with a lightweight neural transition model (237K parameters), enabling policy training entirely on CPU in under 45 minutes. The transition model learns state dynamics from 12,000 trajectory samples collected under diverse behavioural policies, achieving 0.9998 cosine similarity with ground-truth state transitions. A novel causal reward calibration mechanism addresses the reward exploitation problem: propensity-score-matched treatment effect estimates from real trajectory data are used to correct systematic biases in the learned reward function, yielding a calibration factor that scales the predicted reward differential between high- and low-quality actions. Experiments on county-level farmland consolidation across 13 townships (2,600 blocks, 52,515 parcels) with 15 random seeds demonstrate three findings: (1) model-based policies achieve -0.976% ± 0.129% slope reduction on the real environment, exceeding the -0.84% ± 0.07% achieved by model-free MARL trained for 12 hours on A100; (2) causal calibration further improves performance to -1.102% ± 0.100%, a statistically significant 13.0% gain (p = 0.004, Mann-Whitney U test); and (3) the causally derived calibration factor (α = 0.185) falls within 3% of the grid-search optimum (α = 0.200), demonstrating that causal inference provides a tuning-free alternative to expensive hyperparameter search. The complete pipeline requires no GPU and completes in under 2 hours on commodity hardware.</w:t>
      </w:r>
    </w:p>
    <w:p>
      <w:pPr>
        <w:pStyle w:val="Heading1"/>
      </w:pPr>
      <w:r>
        <w:t>1. Introduction</w:t>
      </w:r>
    </w:p>
    <w:p>
      <w:r>
        <w:t>% ============================================================================</w:t>
      </w:r>
    </w:p>
    <w:p>
      <w:r>
        <w:t>Reinforcement learning for spatial planning problems faces a fundamental computational bottleneck: the environment is expensive to simulate. In farmland consolidation optimization—where a planning agent allocates limited exchange budgets across thousands of land parcels to reduce farmland slope while preserving contiguous consolidated fields—each environment step requires updating parcel-level land-use states, recomputing spatial adjacency metrics, and evaluating connected-component-based policy targets such as baimu fang (100-mu consolidated fields, ≥6.67 ha) [zhou2026block]. Training a single policy requires 500,000 such steps, consuming 8–12 hours on NVIDIA A100 GPUs [zhou2026county]. Worse, 25–40% of training runs fail due to policy drift—the agent discovers that maximizing a secondary reward component (consolidated field area) yields higher cumulative reward than the primary objective (slope reduction), exploiting errors in the reward function rather than learning useful spatial strategies.</w:t>
      </w:r>
    </w:p>
    <w:p>
      <w:r>
        <w:t>Model-based reinforcement learning (MBRL) offers a principled solution: learn a transition model that approximates the environment’s state dynamics, then train the policy on the learned model instead of the real environment. The Dreamer family [hafner2023dreamerv3] demonstrated this approach in continuous control, achieving human-level performance across diverse domains by “dreaming” trajectories in a learned latent space. However, MBRL has not been applied to large-scale spatial planning problems, where the state space (44,212 dimensions for county-level farmland optimization) and the discrete, combinatorial action space (2,600 blocks) pose distinct challenges.</w:t>
      </w:r>
    </w:p>
    <w:p>
      <w:r>
        <w:t>This paper makes three contributions:</w:t>
      </w:r>
    </w:p>
    <w:p>
      <w:pPr>
        <w:pStyle w:val="ListNumber"/>
      </w:pPr>
      <w:r>
        <w:t>A learned environment for spatial planning. We train a neural transition model (237K parameters) that predicts next-step observations and rewards from current state and action, achieving 0.9998 cosine similarity with ground-truth transitions. The model trains in 60 minutes on CPU from 12,000 trajectory samples.</w:t>
      </w:r>
    </w:p>
    <w:p>
      <w:pPr>
        <w:pStyle w:val="ListNumber"/>
      </w:pPr>
      <w:r>
        <w:t>Causal reward calibration. We introduce a mechanism that uses propensity-score-matched average treatment effect (ATT) estimates from real trajectory data to calibrate the learned reward function. The calibration corrects a 5.4× overestimation of action quality differentials, reducing reward exploitation and improving downstream policy quality by 13.0% (p = 0.004). A grid search over 8 reward scaling factors confirms that the causally derived α = 0.185 falls within 3% of the empirical optimum, establishing causal inference as a tuning-free calibration method.</w:t>
      </w:r>
    </w:p>
    <w:p>
      <w:pPr>
        <w:pStyle w:val="ListNumber"/>
      </w:pPr>
      <w:r>
        <w:t>Order-of-magnitude compute reduction. The complete pipeline—trajectory collection, transition model training, and policy optimization—requires no GPU and completes in under 2 hours, compared to 8–12 GPU-hours for model-free training. Model-based policies evaluated on the real environment achieve -0.976% slope reduction (without calibration) or -1.102% (with calibration), exceeding model-free baselines (-0.84% for MARL, -0.79% for centralized DRL), with statistical significance established over 15 random seeds.</w:t>
      </w:r>
    </w:p>
    <w:p>
      <w:r>
        <w:t>% ============================================================================</w:t>
      </w:r>
    </w:p>
    <w:p>
      <w:pPr>
        <w:pStyle w:val="Heading1"/>
      </w:pPr>
      <w:r>
        <w:t>2. Related Work</w:t>
      </w:r>
    </w:p>
    <w:p>
      <w:r>
        <w:t>% ============================================================================</w:t>
      </w:r>
    </w:p>
    <w:p>
      <w:pPr>
        <w:pStyle w:val="Heading2"/>
      </w:pPr>
      <w:r>
        <w:t>2.1 Model-based reinforcement learning</w:t>
      </w:r>
    </w:p>
    <w:p>
      <w:r>
        <w:t>MBRL methods learn environment dynamics to reduce sample complexity. World Models [ha2018world] introduced the concept of training policies in “dreams”—trajectories generated by a learned latent dynamics model. Dreamer V3 [hafner2023dreamerv3] extended this to diverse continuous control domains using Recurrent State-Space Models. MuZero [schrittwieser2020muzero] achieved superhuman performance in board games and Atari by planning with a learned model. In spatial domains, zheng2023spatial applied model-free DRL to urban community planning, but no prior work has applied MBRL to spatial planning at scale.</w:t>
      </w:r>
    </w:p>
    <w:p>
      <w:r>
        <w:t>Our approach differs from Dreamer-style methods in a key respect: rather than jointly learning a latent state representation and dynamics model, we operate directly in the environment’s native observation space. This is feasible because the farmland optimization environment already provides a compact, informative state representation (17 features per block × 2,600 blocks + 12 global features), eliminating the need for learned encoding.</w:t>
      </w:r>
    </w:p>
    <w:p>
      <w:pPr>
        <w:pStyle w:val="Heading2"/>
      </w:pPr>
      <w:r>
        <w:t>2.2 Reward model exploitation</w:t>
      </w:r>
    </w:p>
    <w:p>
      <w:r>
        <w:t>The problem of agents exploiting learned reward models is well-documented. amodei2016concrete identified reward hacking as a key safety concern. In offline RL, levine2020offline showed that out-of-distribution actions can exploit value function overestimation. Our causal calibration approach is related to reward model correction methods in RLHF [bai2022training], but uses causal inference rather than human feedback to ground the correction.</w:t>
      </w:r>
    </w:p>
    <w:p>
      <w:pPr>
        <w:pStyle w:val="Heading2"/>
      </w:pPr>
      <w:r>
        <w:t>2.3 DRL for farmland consolidation</w:t>
      </w:r>
    </w:p>
    <w:p>
      <w:r>
        <w:t>This work builds on a progressive scaling program: parcel-level DRL on synthetic data [zhou2026transferable], scalability analysis on real cadastral data [zhou2026scaling], block-level spatial abstraction achieving 100% convergence on individual townships [zhou2026block], and multi-agent county-level coordination [zhou2026county]. The present work addresses the computational cost and reliability limitations identified in zhou2026county.</w:t>
      </w:r>
    </w:p>
    <w:p>
      <w:pPr>
        <w:pStyle w:val="Heading2"/>
      </w:pPr>
      <w:r>
        <w:t>2.4 Causal inference for reward calibration</w:t>
      </w:r>
    </w:p>
    <w:p>
      <w:r>
        <w:t>Propensity score methods [stuart2010matching] enable treatment effect estimation from observational data by balancing confounders between treated and control groups. We adapt this framework to the RL setting: “treatment” is the selection of a high-potential block, “outcome” is the resulting reward, and “confounders” are the global state features that influence both block selection and reward. To our knowledge, this is the first use of causal inference to calibrate a learned environment’s reward function.</w:t>
      </w:r>
    </w:p>
    <w:p>
      <w:r>
        <w:t>% ============================================================================</w:t>
      </w:r>
    </w:p>
    <w:p>
      <w:pPr>
        <w:pStyle w:val="Heading1"/>
      </w:pPr>
      <w:r>
        <w:t>3. Problem Setting</w:t>
      </w:r>
    </w:p>
    <w:p>
      <w:r>
        <w:t>% ============================================================================</w:t>
      </w:r>
    </w:p>
    <w:p>
      <w:r>
        <w:t>We consider the county-level farmland consolidation MDP from zhou2026county. The state s_t ∈ R^D (D = 44,212) comprises per-block features for 2,600 consolidation blocks across 13 townships (X_t ∈ R^2600 × 17) and global county-level metrics (g_t ∈ R^12). At each step, the agent selects a block a_t ∈ \1, …, 2600\ (with action masking for invalid blocks), and the environment executes 5 farmland–forest swaps within that block using a connectivity-aware greedy engine. The episode lasts 100 steps (total budget: 500 swaps). The reward combines slope reduction, contiguity improvement, and baimu fang formation metrics.</w:t>
      </w:r>
    </w:p>
    <w:p>
      <w:r>
        <w:t>Model-free training (Maskable PPO with ParcelScoringPolicy) requires 500,000 timesteps at 12–18 fps on A100, totalling 8–12 hours per seed. Of 9 seeds trained across two architectures (centralized and MARL), 3 exhibited severe policy drift (positive-slope episodes &gt;50%), yielding a 33% failure rate.</w:t>
      </w:r>
    </w:p>
    <w:p>
      <w:r>
        <w:t>% ============================================================================</w:t>
      </w:r>
    </w:p>
    <w:p>
      <w:pPr>
        <w:pStyle w:val="Heading1"/>
      </w:pPr>
      <w:r>
        <w:t>4. Methods</w:t>
      </w:r>
    </w:p>
    <w:p>
      <w:r>
        <w:t>% ============================================================================</w:t>
      </w:r>
    </w:p>
    <w:p>
      <w:r>
        <w:t>Our approach consists of three stages (Fig. fig:pipeline): (1) trajectory collection from the real environment under diverse behavioural policies, (2) transition model training on collected trajectories, and (3) policy optimization on the learned environment with optional causal reward calibration.</w:t>
      </w:r>
    </w:p>
    <w:p>
      <w:pPr>
        <w:pStyle w:val="Heading2"/>
      </w:pPr>
      <w:r>
        <w:t>4.1 Stage 1: Trajectory collection</w:t>
      </w:r>
    </w:p>
    <w:p>
      <w:r>
        <w:t>We collect state-action-reward-next\_state tuples \(s_t, a_t, r_t, s_t+1)\ from the real CountyLevelEnv using two behavioural policies:</w:t>
      </w:r>
    </w:p>
    <w:p>
      <w:pPr>
        <w:pStyle w:val="ListBullet"/>
      </w:pPr>
      <w:r>
        <w:t>Random: uniform random selection from valid (unmasked) blocks. 3 seeds × 20 episodes = 6,000 transitions.</w:t>
      </w:r>
    </w:p>
    <w:p>
      <w:pPr>
        <w:pStyle w:val="ListBullet"/>
      </w:pPr>
      <w:r>
        <w:t>Greedy: select the block with highest slope reduction potential (feature index 3: best\_swap\_gain\_norm). 3 seeds × 20 episodes = 6,000 transitions.</w:t>
      </w:r>
    </w:p>
    <w:p>
      <w:r>
        <w:t>The combined dataset of 12,000 transitions provides both exploratory coverage (random) and high-quality demonstrations (greedy). Each transition stores structured block-level features (R^2600 × 17, float16) and global features (R^12, float32), totalling 1.6 GB compressed.</w:t>
      </w:r>
    </w:p>
    <w:p>
      <w:pPr>
        <w:pStyle w:val="Heading2"/>
      </w:pPr>
      <w:r>
        <w:t>4.2 Stage 2: Neural transition model</w:t>
      </w:r>
    </w:p>
    <w:p>
      <w:r>
        <w:t>The TransitionModel predicts the next observation and reward given current state and action:</w:t>
      </w:r>
    </w:p>
    <w:p>
      <w:r>
        <w:t>s_t+1, r_t = f_\theta(s_t, a_t)</w:t>
      </w:r>
    </w:p>
    <w:p>
      <w:r>
        <w:t>Architecture. The model consists of four components:</w:t>
      </w:r>
    </w:p>
    <w:p>
      <w:pPr>
        <w:pStyle w:val="ListNumber"/>
      </w:pPr>
      <w:r>
        <w:t>Block encoder: a shared MLP (17 → 64 → 32) that encodes each block’s features independently, producing h_b ∈ R^32 for each of the 2,600 blocks.</w:t>
      </w:r>
    </w:p>
    <w:p>
      <w:pPr>
        <w:pStyle w:val="ListNumber"/>
      </w:pPr>
      <w:r>
        <w:t>Action embedding: Embed(a_t) ∈ R^32, a learned embedding for the selected block.</w:t>
      </w:r>
    </w:p>
    <w:p>
      <w:pPr>
        <w:pStyle w:val="ListNumber"/>
      </w:pPr>
      <w:r>
        <w:t>Global encoder: an MLP (12 → 64 → 32) encoding the global state.</w:t>
      </w:r>
    </w:p>
    <w:p>
      <w:pPr>
        <w:pStyle w:val="ListNumber"/>
      </w:pPr>
      <w:r>
        <w:t>Context aggregation: the encoding of the selected block, the action embedding, the global encoding, and the mean-pooled block encodings (spatial context) are concatenated into a 128-dimensional context vector.</w:t>
      </w:r>
    </w:p>
    <w:p>
      <w:r>
        <w:t>From this context, three heads predict:</w:t>
      </w:r>
    </w:p>
    <w:p>
      <w:pPr>
        <w:pStyle w:val="ListBullet"/>
      </w:pPr>
      <w:r>
        <w:t>Δx_a_t ∈ R^17: the residual change to the selected block’s features (via MLP 128 → 256 → 256 → 17). All other blocks remain unchanged: x_b,t+1 = x_b,t for b \neq a_t.</w:t>
      </w:r>
    </w:p>
    <w:p>
      <w:pPr>
        <w:pStyle w:val="ListBullet"/>
      </w:pPr>
      <w:r>
        <w:t>Δg ∈ R^12: the residual change to global features (via MLP 128 → 256 → 12).</w:t>
      </w:r>
    </w:p>
    <w:p>
      <w:pPr>
        <w:pStyle w:val="ListBullet"/>
      </w:pPr>
      <w:r>
        <w:t>r_t ∈ R: the predicted reward (via MLP 128 → 64 → 1).</w:t>
      </w:r>
    </w:p>
    <w:p>
      <w:r>
        <w:t>The residual formulation is critical: inter-step state changes are small (most blocks are unaffected by any single action), so predicting Δ rather than absolute values avoids the identity-mapping learning problem. Total parameters: 236,958.</w:t>
      </w:r>
    </w:p>
    <w:p>
      <w:r>
        <w:t>Training. The model is trained with Adam (lr = 10^-3, weight decay 10^-5) for 50 epochs on the 12,000-transition dataset (90/10 train/val split). Loss: L = MSE(X_t+1, X_t+1) + MSE(g_t+1, g_t+1) + 0.1 \cdot MSE(r_t, r_t). Training completes in ~60 minutes on CPU. Final validation cosine similarity: 0.9998.</w:t>
      </w:r>
    </w:p>
    <w:p>
      <w:pPr>
        <w:pStyle w:val="Heading2"/>
      </w:pPr>
      <w:r>
        <w:t>4.3 Stage 3: Policy optimization on learned environment</w:t>
      </w:r>
    </w:p>
    <w:p>
      <w:r>
        <w:t>The LearnedCountyEnv wraps the trained transition model as a Gymnasium-compatible environment with the same observation space, action space, and action masking interface as the real CountyLevelEnv. At each step, env.step(a) calls the transition model’s forward pass instead of executing real parcel-level swaps. The initial state is drawn from the trajectory dataset.</w:t>
      </w:r>
    </w:p>
    <w:p>
      <w:r>
        <w:t>Policy optimization uses the same Maskable PPO + ParcelScoringPolicy architecture as the model-free baseline [zhou2026county], with identical hyperparameters (lr = 3 × 10^-4, n_steps = 256, γ = 0.995). Training for 100,000 timesteps produces 1,000 episodes, completing in 25–57 minutes on CPU.</w:t>
      </w:r>
    </w:p>
    <w:p>
      <w:r>
        <w:t>Critical distinction: the policy is trained on the learned environment but evaluated on the real environment. All reported metrics (slope change, contiguity, baimu fang) are measured on the real CountyLevelEnv with deterministic inference.</w:t>
      </w:r>
    </w:p>
    <w:p>
      <w:pPr>
        <w:pStyle w:val="Heading2"/>
      </w:pPr>
      <w:r>
        <w:t>4.4 Causal reward calibration</w:t>
      </w:r>
    </w:p>
    <w:p>
      <w:r>
        <w:t>A key failure mode of model-based RL is reward exploitation: the policy learns to select actions that receive high reward from the learned model but perform poorly in the real environment. We observe this as systematic overestimation of the reward differential between “good” and “bad” actions—the learned model amplifies the quality gap by 5.4× compared to empirical data.</w:t>
      </w:r>
    </w:p>
    <w:p>
      <w:r>
        <w:t>To correct this, we estimate the true causal effect of action quality on reward using propensity score stratification on the trajectory dataset:</w:t>
      </w:r>
    </w:p>
    <w:p>
      <w:r>
        <w:t>Treatment definition. For each transition, the “treatment” is binary: T_t = 1 if the selected block’s slope gap (feature 3) exceeds the median across all blocks, T_t = 0 otherwise.</w:t>
      </w:r>
    </w:p>
    <w:p>
      <w:r>
        <w:t>Confounders. Global state features (budget remaining, current slope, contiguity, step fraction, slope improvement) and selected block features (farmland slope, forest slope, swap potential, investment status) serve as confounders that influence both treatment assignment and outcome.</w:t>
      </w:r>
    </w:p>
    <w:p>
      <w:r>
        <w:t>ATT estimation. Propensity scores are estimated via gradient-boosted trees with 5-fold cross-validation. After trimming extreme scores (e \notin [0.05, 0.95]), the ATT is computed via stratified matching across 5 propensity score strata with bootstrap standard errors (200 resamples). Covariate balance after matching was verified via standardized mean differences (all &lt; 0.1; balance diagnostics available in supplementary materials).</w:t>
      </w:r>
    </w:p>
    <w:p>
      <w:r>
        <w:t>Calibration. Let \tau_ATT be the empirical treatment effect and \tau_model be the learned model’s predicted treatment effect (mean reward for high-potential blocks minus low-potential blocks). The calibration factor is:</w:t>
      </w:r>
    </w:p>
    <w:p>
      <w:r>
        <w:t>α = clip\left(\hat\tau_ATT\tau_model, 0.1, 5.0\right)</w:t>
      </w:r>
    </w:p>
    <w:p>
      <w:r>
        <w:t>During model-based policy training, all rewards from the learned environment are scaled by α. In our experiments, \tau_ATT = +0.049, \tau_model = +0.265, yielding α = 0.185—the learned model overestimates the benefit of good actions by 5.4×, and the calibration shrinks rewards accordingly.</w:t>
      </w:r>
    </w:p>
    <w:p>
      <w:r>
        <w:t>% ============================================================================</w:t>
      </w:r>
    </w:p>
    <w:p>
      <w:pPr>
        <w:pStyle w:val="Heading1"/>
      </w:pPr>
      <w:r>
        <w:t>5. Experiments</w:t>
      </w:r>
    </w:p>
    <w:p>
      <w:r>
        <w:t>% ============================================================================</w:t>
      </w:r>
    </w:p>
    <w:p>
      <w:pPr>
        <w:pStyle w:val="Heading2"/>
      </w:pPr>
      <w:r>
        <w:t>5.1 Experimental setup</w:t>
      </w:r>
    </w:p>
    <w:p>
      <w:r>
        <w:t>All experiments use the county-level farmland consolidation environment from zhou2026county: 13 Bishan District townships, 2,600 blocks, 52,515 parcels, budget of 500 swaps. Model-free baselines are taken directly from zhou2026county.</w:t>
      </w:r>
    </w:p>
    <w:p>
      <w:r>
        <w:t>Methods compared:</w:t>
      </w:r>
    </w:p>
    <w:p>
      <w:pPr>
        <w:pStyle w:val="ListBullet"/>
      </w:pPr>
      <w:r>
        <w:t>Greedy-Sequential: deterministic baseline from zhou2026county.</w:t>
      </w:r>
    </w:p>
    <w:p>
      <w:pPr>
        <w:pStyle w:val="ListBullet"/>
      </w:pPr>
      <w:r>
        <w:t>Centralized DRL (model-free): Maskable PPO on real env, 5 seeds, 500K steps, A100 GPU.</w:t>
      </w:r>
    </w:p>
    <w:p>
      <w:pPr>
        <w:pStyle w:val="ListBullet"/>
      </w:pPr>
      <w:r>
        <w:t>MARL DRL (model-free): 13-agent CTDE on real env, 4 seeds, 500K steps, A100 GPU.</w:t>
      </w:r>
    </w:p>
    <w:p>
      <w:pPr>
        <w:pStyle w:val="ListBullet"/>
      </w:pPr>
      <w:r>
        <w:t>Model-Based (ours): Maskable PPO on LearnedCountyEnv, 15 seeds, 100K steps, CPU.</w:t>
      </w:r>
    </w:p>
    <w:p>
      <w:pPr>
        <w:pStyle w:val="ListBullet"/>
      </w:pPr>
      <w:r>
        <w:t>Model-Based + Calibration (ours): same with causal reward calibration (α = 0.185), 15 seeds.</w:t>
      </w:r>
    </w:p>
    <w:p>
      <w:pPr>
        <w:pStyle w:val="ListBullet"/>
      </w:pPr>
      <w:r>
        <w:t>Heuristic Scaling (ablation): reward scaled by α ∈ \0.1, 0.15, 0.2, 0.3, 0.5, 0.7, 1.0\, 5 seeds each.</w:t>
      </w:r>
    </w:p>
    <w:p>
      <w:pPr>
        <w:pStyle w:val="Heading2"/>
      </w:pPr>
      <w:r>
        <w:t>5.2 Main results</w:t>
      </w:r>
    </w:p>
    <w:p>
      <w:r>
        <w:t>Table tab:main presents the comprehensive comparison.</w:t>
      </w:r>
    </w:p>
    <w:p>
      <w:r>
        <w:rPr>
          <w:b/>
        </w:rPr>
        <w:t>Table: Method comparison. All slope/contiguity metrics are evaluated on the real CountyLevelEnv. Training time includes all pipeline stages (trajectory collection + model training + policy optimization) for model-based methods. Statistical significance tested via Mann-Whitney U test against Greedy-Sequential. Best result in bold.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Seeds</w:t>
            </w:r>
          </w:p>
        </w:tc>
        <w:tc>
          <w:tcPr>
            <w:tcW w:type="dxa" w:w="1234"/>
          </w:tcPr>
          <w:p>
            <w:r>
              <w:t>Slope (%)</w:t>
            </w:r>
          </w:p>
        </w:tc>
        <w:tc>
          <w:tcPr>
            <w:tcW w:type="dxa" w:w="1234"/>
          </w:tcPr>
          <w:p>
            <w:r>
              <w:t>Sig.</w:t>
            </w:r>
          </w:p>
        </w:tc>
        <w:tc>
          <w:tcPr>
            <w:tcW w:type="dxa" w:w="1234"/>
          </w:tcPr>
          <w:p>
            <w:r>
              <w:t>Cont.</w:t>
            </w:r>
          </w:p>
        </w:tc>
        <w:tc>
          <w:tcPr>
            <w:tcW w:type="dxa" w:w="1234"/>
          </w:tcPr>
          <w:p>
            <w:r>
              <w:t>Time</w:t>
            </w:r>
          </w:p>
        </w:tc>
        <w:tc>
          <w:tcPr>
            <w:tcW w:type="dxa" w:w="1234"/>
          </w:tcPr>
          <w:p>
            <w:r>
              <w:t>Hardware</w:t>
            </w:r>
          </w:p>
        </w:tc>
      </w:tr>
      <w:tr>
        <w:tc>
          <w:tcPr>
            <w:tcW w:type="dxa" w:w="1234"/>
          </w:tcPr>
          <w:p>
            <w:r>
              <w:t>Greedy-Sequential</w:t>
            </w:r>
          </w:p>
        </w:tc>
        <w:tc>
          <w:tcPr>
            <w:tcW w:type="dxa" w:w="1234"/>
          </w:tcPr>
          <w:p>
            <w:r>
              <w:t>1</w:t>
            </w:r>
          </w:p>
        </w:tc>
        <w:tc>
          <w:tcPr>
            <w:tcW w:type="dxa" w:w="1234"/>
          </w:tcPr>
          <w:p>
            <w:r>
              <w:t>-0.27</w:t>
            </w:r>
          </w:p>
        </w:tc>
        <w:tc>
          <w:tcPr>
            <w:tcW w:type="dxa" w:w="1234"/>
          </w:tcPr>
          <w:p>
            <w:r>
              <w:t>—</w:t>
            </w:r>
          </w:p>
        </w:tc>
        <w:tc>
          <w:tcPr>
            <w:tcW w:type="dxa" w:w="1234"/>
          </w:tcPr>
          <w:p>
            <w:r>
              <w:t>+0.008</w:t>
            </w:r>
          </w:p>
        </w:tc>
        <w:tc>
          <w:tcPr>
            <w:tcW w:type="dxa" w:w="1234"/>
          </w:tcPr>
          <w:p>
            <w:r>
              <w:t>10 s</w:t>
            </w:r>
          </w:p>
        </w:tc>
        <w:tc>
          <w:tcPr>
            <w:tcW w:type="dxa" w:w="1234"/>
          </w:tcPr>
          <w:p>
            <w:r>
              <w:t>CPU</w:t>
            </w:r>
          </w:p>
        </w:tc>
      </w:tr>
      <w:tr>
        <w:tc>
          <w:tcPr>
            <w:tcW w:type="dxa" w:w="1234"/>
          </w:tcPr>
          <w:p>
            <w:r>
              <w:t>Centralized DRL</w:t>
            </w:r>
          </w:p>
        </w:tc>
        <w:tc>
          <w:tcPr>
            <w:tcW w:type="dxa" w:w="1234"/>
          </w:tcPr>
          <w:p>
            <w:r>
              <w:t>5</w:t>
            </w:r>
          </w:p>
        </w:tc>
        <w:tc>
          <w:tcPr>
            <w:tcW w:type="dxa" w:w="1234"/>
          </w:tcPr>
          <w:p>
            <w:r>
              <w:t>-0.79 ± 0.36</w:t>
            </w:r>
          </w:p>
        </w:tc>
        <w:tc>
          <w:tcPr>
            <w:tcW w:type="dxa" w:w="1234"/>
          </w:tcPr>
          <w:p>
            <w:r/>
          </w:p>
        </w:tc>
        <w:tc>
          <w:tcPr>
            <w:tcW w:type="dxa" w:w="1234"/>
          </w:tcPr>
          <w:p>
            <w:r>
              <w:t>+0.017</w:t>
            </w:r>
          </w:p>
        </w:tc>
        <w:tc>
          <w:tcPr>
            <w:tcW w:type="dxa" w:w="1234"/>
          </w:tcPr>
          <w:p>
            <w:r>
              <w:t>8 h</w:t>
            </w:r>
          </w:p>
        </w:tc>
        <w:tc>
          <w:tcPr>
            <w:tcW w:type="dxa" w:w="1234"/>
          </w:tcPr>
          <w:p>
            <w:r>
              <w:t>A100</w:t>
            </w:r>
          </w:p>
        </w:tc>
      </w:tr>
      <w:tr>
        <w:tc>
          <w:tcPr>
            <w:tcW w:type="dxa" w:w="1234"/>
          </w:tcPr>
          <w:p>
            <w:r>
              <w:t>MARL DRL</w:t>
            </w:r>
          </w:p>
        </w:tc>
        <w:tc>
          <w:tcPr>
            <w:tcW w:type="dxa" w:w="1234"/>
          </w:tcPr>
          <w:p>
            <w:r>
              <w:t>4</w:t>
            </w:r>
          </w:p>
        </w:tc>
        <w:tc>
          <w:tcPr>
            <w:tcW w:type="dxa" w:w="1234"/>
          </w:tcPr>
          <w:p>
            <w:r>
              <w:t>-0.84 ± 0.07</w:t>
            </w:r>
          </w:p>
        </w:tc>
        <w:tc>
          <w:tcPr>
            <w:tcW w:type="dxa" w:w="1234"/>
          </w:tcPr>
          <w:p>
            <w:r/>
          </w:p>
        </w:tc>
        <w:tc>
          <w:tcPr>
            <w:tcW w:type="dxa" w:w="1234"/>
          </w:tcPr>
          <w:p>
            <w:r>
              <w:t>+0.017</w:t>
            </w:r>
          </w:p>
        </w:tc>
        <w:tc>
          <w:tcPr>
            <w:tcW w:type="dxa" w:w="1234"/>
          </w:tcPr>
          <w:p>
            <w:r>
              <w:t>12 h</w:t>
            </w:r>
          </w:p>
        </w:tc>
        <w:tc>
          <w:tcPr>
            <w:tcW w:type="dxa" w:w="1234"/>
          </w:tcPr>
          <w:p>
            <w:r>
              <w:t>A100</w:t>
            </w:r>
          </w:p>
        </w:tc>
      </w:tr>
      <w:tr>
        <w:tc>
          <w:tcPr>
            <w:tcW w:type="dxa" w:w="1234"/>
          </w:tcPr>
          <w:p>
            <w:r>
              <w:t>Model-Based (ours)</w:t>
            </w:r>
          </w:p>
        </w:tc>
        <w:tc>
          <w:tcPr>
            <w:tcW w:type="dxa" w:w="1234"/>
          </w:tcPr>
          <w:p>
            <w:r>
              <w:t>15</w:t>
            </w:r>
          </w:p>
        </w:tc>
        <w:tc>
          <w:tcPr>
            <w:tcW w:type="dxa" w:w="1234"/>
          </w:tcPr>
          <w:p>
            <w:r>
              <w:t>-0.976 ± 0.129</w:t>
            </w:r>
          </w:p>
        </w:tc>
        <w:tc>
          <w:tcPr>
            <w:tcW w:type="dxa" w:w="1234"/>
          </w:tcPr>
          <w:p>
            <w:r>
              <w:t>**</w:t>
            </w:r>
          </w:p>
        </w:tc>
        <w:tc>
          <w:tcPr>
            <w:tcW w:type="dxa" w:w="1234"/>
          </w:tcPr>
          <w:p>
            <w:r>
              <w:t>+0.013</w:t>
            </w:r>
          </w:p>
        </w:tc>
        <w:tc>
          <w:tcPr>
            <w:tcW w:type="dxa" w:w="1234"/>
          </w:tcPr>
          <w:p>
            <w:r>
              <w:t>~2 h</w:t>
            </w:r>
          </w:p>
        </w:tc>
        <w:tc>
          <w:tcPr>
            <w:tcW w:type="dxa" w:w="1234"/>
          </w:tcPr>
          <w:p>
            <w:r>
              <w:t>CPU</w:t>
            </w:r>
          </w:p>
        </w:tc>
      </w:tr>
      <w:tr>
        <w:tc>
          <w:tcPr>
            <w:tcW w:type="dxa" w:w="1234"/>
          </w:tcPr>
          <w:p>
            <w:r>
              <w:t>MB + Calibration</w:t>
            </w:r>
          </w:p>
        </w:tc>
        <w:tc>
          <w:tcPr>
            <w:tcW w:type="dxa" w:w="1234"/>
          </w:tcPr>
          <w:p>
            <w:r>
              <w:t>15</w:t>
            </w:r>
          </w:p>
        </w:tc>
        <w:tc>
          <w:tcPr>
            <w:tcW w:type="dxa" w:w="1234"/>
          </w:tcPr>
          <w:p>
            <w:r>
              <w:t>-1.102 ± 0.100</w:t>
            </w:r>
          </w:p>
        </w:tc>
        <w:tc>
          <w:tcPr>
            <w:tcW w:type="dxa" w:w="1234"/>
          </w:tcPr>
          <w:p>
            <w:r>
              <w:t>**</w:t>
            </w:r>
          </w:p>
        </w:tc>
        <w:tc>
          <w:tcPr>
            <w:tcW w:type="dxa" w:w="1234"/>
          </w:tcPr>
          <w:p>
            <w:r>
              <w:t>+0.011</w:t>
            </w:r>
          </w:p>
        </w:tc>
        <w:tc>
          <w:tcPr>
            <w:tcW w:type="dxa" w:w="1234"/>
          </w:tcPr>
          <w:p>
            <w:r>
              <w:t>~2 h</w:t>
            </w:r>
          </w:p>
        </w:tc>
        <w:tc>
          <w:tcPr>
            <w:tcW w:type="dxa" w:w="1234"/>
          </w:tcPr>
          <w:p>
            <w:r>
              <w:t>CPU</w:t>
            </w:r>
          </w:p>
        </w:tc>
      </w:tr>
    </w:tbl>
    <w:p/>
    <w:p>
      <w:r>
        <w:t>Model-based RL outperforms model-free baselines. Without calibration, model-based policies achieve -0.976% slope reduction across 15 seeds, exceeding MARL (-0.84%) by 16% and centralized DRL (-0.79%) by 24%. With causal calibration, performance improves to -1.102%—a 31% improvement over the best model-free method (p = 0.004, Mann-Whitney U test).</w:t>
      </w:r>
    </w:p>
    <w:p>
      <w:r>
        <w:t>Dramatic compute reduction. The model-based pipeline completes in ~2 hours on CPU (trajectory collection: ~40 min; transition model: ~60 min; policy: ~45 min), compared to 8–12 GPU-hours for model-free methods. This represents a ~16× wall-clock speedup with no GPU requirement.</w:t>
      </w:r>
    </w:p>
    <w:p>
      <w:r>
        <w:t>Improved reliability. Model-based training exhibits no policy drift: all 15 seeds converge to consistent slope reduction (-0.73% to -1.32%, std = 0.129%). In contrast, model-free training shows 33% failure rate (3/9 seeds across centralized and MARL architectures).</w:t>
      </w:r>
    </w:p>
    <w:p>
      <w:pPr>
        <w:pStyle w:val="Heading2"/>
      </w:pPr>
      <w:r>
        <w:t>5.3 Transition model quality</w:t>
      </w:r>
    </w:p>
    <w:p>
      <w:r>
        <w:rPr>
          <w:b/>
        </w:rPr>
        <w:t>Table: Transition model validation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Threshold</w:t>
            </w:r>
          </w:p>
        </w:tc>
      </w:tr>
      <w:tr>
        <w:tc>
          <w:tcPr>
            <w:tcW w:type="dxa" w:w="2880"/>
          </w:tcPr>
          <w:p>
            <w:r>
              <w:t>Cosine similarity (obs)</w:t>
            </w:r>
          </w:p>
        </w:tc>
        <w:tc>
          <w:tcPr>
            <w:tcW w:type="dxa" w:w="2880"/>
          </w:tcPr>
          <w:p>
            <w:r>
              <w:t>0.9998</w:t>
            </w:r>
          </w:p>
        </w:tc>
        <w:tc>
          <w:tcPr>
            <w:tcW w:type="dxa" w:w="2880"/>
          </w:tcPr>
          <w:p>
            <w:r>
              <w:t>&gt;0.95</w:t>
            </w:r>
          </w:p>
        </w:tc>
      </w:tr>
      <w:tr>
        <w:tc>
          <w:tcPr>
            <w:tcW w:type="dxa" w:w="2880"/>
          </w:tcPr>
          <w:p>
            <w:r>
              <w:t>Best validation loss</w:t>
            </w:r>
          </w:p>
        </w:tc>
        <w:tc>
          <w:tcPr>
            <w:tcW w:type="dxa" w:w="2880"/>
          </w:tcPr>
          <w:p>
            <w:r>
              <w:t>0.088</w:t>
            </w:r>
          </w:p>
        </w:tc>
        <w:tc>
          <w:tcPr>
            <w:tcW w:type="dxa" w:w="2880"/>
          </w:tcPr>
          <w:p>
            <w:r>
              <w:t>—</w:t>
            </w:r>
          </w:p>
        </w:tc>
      </w:tr>
      <w:tr>
        <w:tc>
          <w:tcPr>
            <w:tcW w:type="dxa" w:w="2880"/>
          </w:tcPr>
          <w:p>
            <w:r>
              <w:t>Reward MSE</w:t>
            </w:r>
          </w:p>
        </w:tc>
        <w:tc>
          <w:tcPr>
            <w:tcW w:type="dxa" w:w="2880"/>
          </w:tcPr>
          <w:p>
            <w:r>
              <w:t>1.097</w:t>
            </w:r>
          </w:p>
        </w:tc>
        <w:tc>
          <w:tcPr>
            <w:tcW w:type="dxa" w:w="2880"/>
          </w:tcPr>
          <w:p>
            <w:r>
              <w:t>—</w:t>
            </w:r>
          </w:p>
        </w:tc>
      </w:tr>
      <w:tr>
        <w:tc>
          <w:tcPr>
            <w:tcW w:type="dxa" w:w="2880"/>
          </w:tcPr>
          <w:p>
            <w:r>
              <w:t>Parameters</w:t>
            </w:r>
          </w:p>
        </w:tc>
        <w:tc>
          <w:tcPr>
            <w:tcW w:type="dxa" w:w="2880"/>
          </w:tcPr>
          <w:p>
            <w:r>
              <w:t>236,958</w:t>
            </w:r>
          </w:p>
        </w:tc>
        <w:tc>
          <w:tcPr>
            <w:tcW w:type="dxa" w:w="2880"/>
          </w:tcPr>
          <w:p>
            <w:r>
              <w:t>—</w:t>
            </w:r>
          </w:p>
        </w:tc>
      </w:tr>
      <w:tr>
        <w:tc>
          <w:tcPr>
            <w:tcW w:type="dxa" w:w="2880"/>
          </w:tcPr>
          <w:p>
            <w:r>
              <w:t>Training time</w:t>
            </w:r>
          </w:p>
        </w:tc>
        <w:tc>
          <w:tcPr>
            <w:tcW w:type="dxa" w:w="2880"/>
          </w:tcPr>
          <w:p>
            <w:r>
              <w:t>60 min</w:t>
            </w:r>
          </w:p>
        </w:tc>
        <w:tc>
          <w:tcPr>
            <w:tcW w:type="dxa" w:w="2880"/>
          </w:tcPr>
          <w:p>
            <w:r>
              <w:t>—</w:t>
            </w:r>
          </w:p>
        </w:tc>
      </w:tr>
      <w:tr>
        <w:tc>
          <w:tcPr>
            <w:tcW w:type="dxa" w:w="2880"/>
          </w:tcPr>
          <w:p>
            <w:r>
              <w:t>Training data</w:t>
            </w:r>
          </w:p>
        </w:tc>
        <w:tc>
          <w:tcPr>
            <w:tcW w:type="dxa" w:w="2880"/>
          </w:tcPr>
          <w:p>
            <w:r>
              <w:t>12,000 transitions</w:t>
            </w:r>
          </w:p>
        </w:tc>
        <w:tc>
          <w:tcPr>
            <w:tcW w:type="dxa" w:w="2880"/>
          </w:tcPr>
          <w:p>
            <w:r>
              <w:t>—</w:t>
            </w:r>
          </w:p>
        </w:tc>
      </w:tr>
    </w:tbl>
    <w:p/>
    <w:p>
      <w:r>
        <w:t>The transition model achieves near-perfect state prediction (cosine similarity 0.9998), far exceeding the 0.95 threshold. The higher reward MSE (1.097) reflects the high variance of rewards across random and greedy policies; the causal calibration mechanism (Section sec:calibration) addresses systematic biases in reward prediction rather than per-step accuracy.</w:t>
      </w:r>
    </w:p>
    <w:p>
      <w:pPr>
        <w:pStyle w:val="Heading2"/>
      </w:pPr>
      <w:r>
        <w:t>5.4 Ablation: Causal reward calibration (E5)</w:t>
      </w:r>
    </w:p>
    <w:p>
      <w:r>
        <w:rPr>
          <w:b/>
        </w:rPr>
        <w:t>Table: Effect of causal reward calibration on policy quality (15 seeds). All metrics evaluated on real env.</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n</w:t>
            </w:r>
          </w:p>
        </w:tc>
        <w:tc>
          <w:tcPr>
            <w:tcW w:type="dxa" w:w="1728"/>
          </w:tcPr>
          <w:p>
            <w:r>
              <w:t>Slope (%)</w:t>
            </w:r>
          </w:p>
        </w:tc>
        <w:tc>
          <w:tcPr>
            <w:tcW w:type="dxa" w:w="1728"/>
          </w:tcPr>
          <w:p>
            <w:r>
              <w:t>p-value</w:t>
            </w:r>
          </w:p>
        </w:tc>
        <w:tc>
          <w:tcPr>
            <w:tcW w:type="dxa" w:w="1728"/>
          </w:tcPr>
          <w:p>
            <w:r>
              <w:t>Wins</w:t>
            </w:r>
          </w:p>
        </w:tc>
      </w:tr>
      <w:tr>
        <w:tc>
          <w:tcPr>
            <w:tcW w:type="dxa" w:w="1728"/>
          </w:tcPr>
          <w:p>
            <w:r>
              <w:t>No calibration (α = 1.0)</w:t>
            </w:r>
          </w:p>
        </w:tc>
        <w:tc>
          <w:tcPr>
            <w:tcW w:type="dxa" w:w="1728"/>
          </w:tcPr>
          <w:p>
            <w:r>
              <w:t>15</w:t>
            </w:r>
          </w:p>
        </w:tc>
        <w:tc>
          <w:tcPr>
            <w:tcW w:type="dxa" w:w="1728"/>
          </w:tcPr>
          <w:p>
            <w:r>
              <w:t>-0.976 ± 0.129</w:t>
            </w:r>
          </w:p>
        </w:tc>
        <w:tc>
          <w:tcPr>
            <w:tcW w:type="dxa" w:w="1728"/>
          </w:tcPr>
          <w:p>
            <w:r>
              <w:t>—</w:t>
            </w:r>
          </w:p>
        </w:tc>
        <w:tc>
          <w:tcPr>
            <w:tcW w:type="dxa" w:w="1728"/>
          </w:tcPr>
          <w:p>
            <w:r>
              <w:t>—</w:t>
            </w:r>
          </w:p>
        </w:tc>
      </w:tr>
      <w:tr>
        <w:tc>
          <w:tcPr>
            <w:tcW w:type="dxa" w:w="1728"/>
          </w:tcPr>
          <w:p>
            <w:r>
              <w:t>With calibration (α = 0.185)</w:t>
            </w:r>
          </w:p>
        </w:tc>
        <w:tc>
          <w:tcPr>
            <w:tcW w:type="dxa" w:w="1728"/>
          </w:tcPr>
          <w:p>
            <w:r>
              <w:t>15</w:t>
            </w:r>
          </w:p>
        </w:tc>
        <w:tc>
          <w:tcPr>
            <w:tcW w:type="dxa" w:w="1728"/>
          </w:tcPr>
          <w:p>
            <w:r>
              <w:t>-1.102 ± 0.100</w:t>
            </w:r>
          </w:p>
        </w:tc>
        <w:tc>
          <w:tcPr>
            <w:tcW w:type="dxa" w:w="1728"/>
          </w:tcPr>
          <w:p>
            <w:r>
              <w:t>0.004^**</w:t>
            </w:r>
          </w:p>
        </w:tc>
        <w:tc>
          <w:tcPr>
            <w:tcW w:type="dxa" w:w="1728"/>
          </w:tcPr>
          <w:p>
            <w:r>
              <w:t>10/15</w:t>
            </w:r>
          </w:p>
        </w:tc>
      </w:tr>
      <w:tr>
        <w:tc>
          <w:tcPr>
            <w:tcW w:type="dxa" w:w="1728"/>
          </w:tcPr>
          <w:p>
            <w:r>
              <w:t>Improvement</w:t>
            </w:r>
          </w:p>
        </w:tc>
        <w:tc>
          <w:tcPr>
            <w:tcW w:type="dxa" w:w="1728"/>
          </w:tcPr>
          <w:p>
            <w:r/>
          </w:p>
        </w:tc>
        <w:tc>
          <w:tcPr>
            <w:tcW w:type="dxa" w:w="1728"/>
          </w:tcPr>
          <w:p>
            <w:r>
              <w:t>+13.0%</w:t>
            </w:r>
          </w:p>
        </w:tc>
        <w:tc>
          <w:tcPr>
            <w:tcW w:type="dxa" w:w="1728"/>
          </w:tcPr>
          <w:p>
            <w:r/>
          </w:p>
        </w:tc>
        <w:tc>
          <w:tcPr>
            <w:tcW w:type="dxa" w:w="1728"/>
          </w:tcPr>
          <w:p>
            <w:r/>
          </w:p>
        </w:tc>
      </w:tr>
    </w:tbl>
    <w:p/>
    <w:p>
      <w:r>
        <w:t>Causal calibration improves slope reduction by 13.0% (-1.102% vs.\ -0.976%), statistically significant at p = 0.004 (Mann-Whitney U = 48, one-sided). The calibrated policy outperforms the uncalibrated version in 10 of 15 seeds. The improvement is robust: the worst calibrated seed (-0.946%) still matches the uncalibrated mean.</w:t>
      </w:r>
    </w:p>
    <w:p>
      <w:r>
        <w:t>The calibration factor α = 0.185 indicates that the learned environment overestimates the reward differential between high- and low-quality actions by 5.4×. Without correction, the policy exploits this overestimation by concentrating on a narrow set of “apparently high-value” blocks; with calibration, the flattened reward landscape encourages broader exploration and more balanced block selection.</w:t>
      </w:r>
    </w:p>
    <w:p>
      <w:pPr>
        <w:pStyle w:val="Heading2"/>
      </w:pPr>
      <w:r>
        <w:t>5.5 Causal calibration vs.\ heuristic reward scaling</w:t>
      </w:r>
    </w:p>
    <w:p>
      <w:r>
        <w:t>A natural question is whether the benefit of causal calibration could be replicated by simply tuning a reward scaling hyperparameter via grid search. To test this, we trained policies with 8 reward scaling factors α ∈ \0.1, 0.15, 0.185, 0.2, 0.3, 0.5, 0.7, 1.0\, using 5 seeds per value (Table tab:grid).</w:t>
      </w:r>
    </w:p>
    <w:p>
      <w:r>
        <w:rPr>
          <w:b/>
        </w:rPr>
        <w:t>Table: Reward scaling grid search (5 seeds each). The causally derived α = 0.185 is marked. Grid-search optimum at α = 0.200.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α</w:t>
            </w:r>
          </w:p>
        </w:tc>
        <w:tc>
          <w:tcPr>
            <w:tcW w:type="dxa" w:w="2880"/>
          </w:tcPr>
          <w:p>
            <w:r>
              <w:t>Slope (%)</w:t>
            </w:r>
          </w:p>
        </w:tc>
        <w:tc>
          <w:tcPr>
            <w:tcW w:type="dxa" w:w="2880"/>
          </w:tcPr>
          <w:p>
            <w:r>
              <w:t>Std</w:t>
            </w:r>
          </w:p>
        </w:tc>
      </w:tr>
      <w:tr>
        <w:tc>
          <w:tcPr>
            <w:tcW w:type="dxa" w:w="2880"/>
          </w:tcPr>
          <w:p>
            <w:r>
              <w:t>0.100</w:t>
            </w:r>
          </w:p>
        </w:tc>
        <w:tc>
          <w:tcPr>
            <w:tcW w:type="dxa" w:w="2880"/>
          </w:tcPr>
          <w:p>
            <w:r>
              <w:t>-1.123</w:t>
            </w:r>
          </w:p>
        </w:tc>
        <w:tc>
          <w:tcPr>
            <w:tcW w:type="dxa" w:w="2880"/>
          </w:tcPr>
          <w:p>
            <w:r>
              <w:t>0.151</w:t>
            </w:r>
          </w:p>
        </w:tc>
      </w:tr>
      <w:tr>
        <w:tc>
          <w:tcPr>
            <w:tcW w:type="dxa" w:w="2880"/>
          </w:tcPr>
          <w:p>
            <w:r>
              <w:t>0.150</w:t>
            </w:r>
          </w:p>
        </w:tc>
        <w:tc>
          <w:tcPr>
            <w:tcW w:type="dxa" w:w="2880"/>
          </w:tcPr>
          <w:p>
            <w:r>
              <w:t>-1.120</w:t>
            </w:r>
          </w:p>
        </w:tc>
        <w:tc>
          <w:tcPr>
            <w:tcW w:type="dxa" w:w="2880"/>
          </w:tcPr>
          <w:p>
            <w:r>
              <w:t>0.109</w:t>
            </w:r>
          </w:p>
        </w:tc>
      </w:tr>
      <w:tr>
        <w:tc>
          <w:tcPr>
            <w:tcW w:type="dxa" w:w="2880"/>
          </w:tcPr>
          <w:p>
            <w:r>
              <w:t>0.185 (causal)</w:t>
            </w:r>
          </w:p>
        </w:tc>
        <w:tc>
          <w:tcPr>
            <w:tcW w:type="dxa" w:w="2880"/>
          </w:tcPr>
          <w:p>
            <w:r>
              <w:t>-1.171</w:t>
            </w:r>
          </w:p>
        </w:tc>
        <w:tc>
          <w:tcPr>
            <w:tcW w:type="dxa" w:w="2880"/>
          </w:tcPr>
          <w:p>
            <w:r>
              <w:t>0.103</w:t>
            </w:r>
          </w:p>
        </w:tc>
      </w:tr>
      <w:tr>
        <w:tc>
          <w:tcPr>
            <w:tcW w:type="dxa" w:w="2880"/>
          </w:tcPr>
          <w:p>
            <w:r>
              <w:t>0.200 (grid best)</w:t>
            </w:r>
          </w:p>
        </w:tc>
        <w:tc>
          <w:tcPr>
            <w:tcW w:type="dxa" w:w="2880"/>
          </w:tcPr>
          <w:p>
            <w:r>
              <w:t>-1.209</w:t>
            </w:r>
          </w:p>
        </w:tc>
        <w:tc>
          <w:tcPr>
            <w:tcW w:type="dxa" w:w="2880"/>
          </w:tcPr>
          <w:p>
            <w:r>
              <w:t>0.092</w:t>
            </w:r>
          </w:p>
        </w:tc>
      </w:tr>
      <w:tr>
        <w:tc>
          <w:tcPr>
            <w:tcW w:type="dxa" w:w="2880"/>
          </w:tcPr>
          <w:p>
            <w:r>
              <w:t>0.300</w:t>
            </w:r>
          </w:p>
        </w:tc>
        <w:tc>
          <w:tcPr>
            <w:tcW w:type="dxa" w:w="2880"/>
          </w:tcPr>
          <w:p>
            <w:r>
              <w:t>-1.171</w:t>
            </w:r>
          </w:p>
        </w:tc>
        <w:tc>
          <w:tcPr>
            <w:tcW w:type="dxa" w:w="2880"/>
          </w:tcPr>
          <w:p>
            <w:r>
              <w:t>0.077</w:t>
            </w:r>
          </w:p>
        </w:tc>
      </w:tr>
      <w:tr>
        <w:tc>
          <w:tcPr>
            <w:tcW w:type="dxa" w:w="2880"/>
          </w:tcPr>
          <w:p>
            <w:r>
              <w:t>0.500</w:t>
            </w:r>
          </w:p>
        </w:tc>
        <w:tc>
          <w:tcPr>
            <w:tcW w:type="dxa" w:w="2880"/>
          </w:tcPr>
          <w:p>
            <w:r>
              <w:t>-1.043</w:t>
            </w:r>
          </w:p>
        </w:tc>
        <w:tc>
          <w:tcPr>
            <w:tcW w:type="dxa" w:w="2880"/>
          </w:tcPr>
          <w:p>
            <w:r>
              <w:t>0.065</w:t>
            </w:r>
          </w:p>
        </w:tc>
      </w:tr>
      <w:tr>
        <w:tc>
          <w:tcPr>
            <w:tcW w:type="dxa" w:w="2880"/>
          </w:tcPr>
          <w:p>
            <w:r>
              <w:t>0.700</w:t>
            </w:r>
          </w:p>
        </w:tc>
        <w:tc>
          <w:tcPr>
            <w:tcW w:type="dxa" w:w="2880"/>
          </w:tcPr>
          <w:p>
            <w:r>
              <w:t>-0.991</w:t>
            </w:r>
          </w:p>
        </w:tc>
        <w:tc>
          <w:tcPr>
            <w:tcW w:type="dxa" w:w="2880"/>
          </w:tcPr>
          <w:p>
            <w:r>
              <w:t>0.047</w:t>
            </w:r>
          </w:p>
        </w:tc>
      </w:tr>
      <w:tr>
        <w:tc>
          <w:tcPr>
            <w:tcW w:type="dxa" w:w="2880"/>
          </w:tcPr>
          <w:p>
            <w:r>
              <w:t>1.000 (no scaling)</w:t>
            </w:r>
          </w:p>
        </w:tc>
        <w:tc>
          <w:tcPr>
            <w:tcW w:type="dxa" w:w="2880"/>
          </w:tcPr>
          <w:p>
            <w:r>
              <w:t>-0.959</w:t>
            </w:r>
          </w:p>
        </w:tc>
        <w:tc>
          <w:tcPr>
            <w:tcW w:type="dxa" w:w="2880"/>
          </w:tcPr>
          <w:p>
            <w:r>
              <w:t>0.055</w:t>
            </w:r>
          </w:p>
        </w:tc>
      </w:tr>
    </w:tbl>
    <w:p/>
    <w:p>
      <w:r>
        <w:t>The results reveal three key findings. First, the optimal scaling region is α ∈ [0.15, 0.30], with performance degrading monotonically for α &gt; 0.3. Second, the causally derived α = 0.185 achieves -1.171%, within 0.038 percentage points (3.1%) of the grid-search optimum α = 0.200 (-1.209%). Third, the no-scaling baseline (α = 1.0, -0.959%) is the worst performer, confirming that reward overestimation is a genuine problem rather than an artifact.</w:t>
      </w:r>
    </w:p>
    <w:p>
      <w:r>
        <w:t>These results validate causal calibration as a tuning-free method: the causally derived α lands in the optimal plateau without any hyperparameter search, which would otherwise require 8 × 5 = 40 additional training runs. We note that a state-dependent calibration factor α(s) could potentially improve upon the global constant; we leave this extension to future work.</w:t>
      </w:r>
    </w:p>
    <w:p>
      <w:pPr>
        <w:pStyle w:val="Heading2"/>
      </w:pPr>
      <w:r>
        <w:t>5.6 Ablation: GeoFM embedding augmentation (E4)</w:t>
      </w:r>
    </w:p>
    <w:p>
      <w:r>
        <w:t>We tested augmenting the transition model’s per-block input with 64-dimensional AlphaEarth GeoFM embeddings [brown2025alphaearth], extracted at each block’s centroid via Google Earth Engine.</w:t>
      </w:r>
    </w:p>
    <w:p>
      <w:r>
        <w:rPr>
          <w:b/>
        </w:rPr>
        <w:t>Table: GeoFM embedding ablation. TM = transition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TM Params</w:t>
            </w:r>
          </w:p>
        </w:tc>
        <w:tc>
          <w:tcPr>
            <w:tcW w:type="dxa" w:w="2160"/>
          </w:tcPr>
          <w:p>
            <w:r>
              <w:t>TM Val Loss</w:t>
            </w:r>
          </w:p>
        </w:tc>
        <w:tc>
          <w:tcPr>
            <w:tcW w:type="dxa" w:w="2160"/>
          </w:tcPr>
          <w:p>
            <w:r>
              <w:t>Policy Slope (%)</w:t>
            </w:r>
          </w:p>
        </w:tc>
      </w:tr>
      <w:tr>
        <w:tc>
          <w:tcPr>
            <w:tcW w:type="dxa" w:w="2160"/>
          </w:tcPr>
          <w:p>
            <w:r>
              <w:t>No GeoFM (17-dim input)</w:t>
            </w:r>
          </w:p>
        </w:tc>
        <w:tc>
          <w:tcPr>
            <w:tcW w:type="dxa" w:w="2160"/>
          </w:tcPr>
          <w:p>
            <w:r>
              <w:t>236,958</w:t>
            </w:r>
          </w:p>
        </w:tc>
        <w:tc>
          <w:tcPr>
            <w:tcW w:type="dxa" w:w="2160"/>
          </w:tcPr>
          <w:p>
            <w:r>
              <w:t>0.085</w:t>
            </w:r>
          </w:p>
        </w:tc>
        <w:tc>
          <w:tcPr>
            <w:tcW w:type="dxa" w:w="2160"/>
          </w:tcPr>
          <w:p>
            <w:r>
              <w:t>-0.96 ± 0.14%</w:t>
            </w:r>
          </w:p>
        </w:tc>
      </w:tr>
      <w:tr>
        <w:tc>
          <w:tcPr>
            <w:tcW w:type="dxa" w:w="2160"/>
          </w:tcPr>
          <w:p>
            <w:r>
              <w:t>With GeoFM (81-dim input)</w:t>
            </w:r>
          </w:p>
        </w:tc>
        <w:tc>
          <w:tcPr>
            <w:tcW w:type="dxa" w:w="2160"/>
          </w:tcPr>
          <w:p>
            <w:r>
              <w:t>241,054</w:t>
            </w:r>
          </w:p>
        </w:tc>
        <w:tc>
          <w:tcPr>
            <w:tcW w:type="dxa" w:w="2160"/>
          </w:tcPr>
          <w:p>
            <w:r>
              <w:t>0.051</w:t>
            </w:r>
          </w:p>
        </w:tc>
        <w:tc>
          <w:tcPr>
            <w:tcW w:type="dxa" w:w="2160"/>
          </w:tcPr>
          <w:p>
            <w:r>
              <w:t>-0.70 ± 0.01%</w:t>
            </w:r>
          </w:p>
        </w:tc>
      </w:tr>
    </w:tbl>
    <w:p/>
    <w:p>
      <w:r>
        <w:t>GeoFM embeddings reduce transition model validation loss by 40% (0.051 vs.\ 0.085), indicating better state prediction. However, downstream policy quality decreases (-0.70% vs.\ -0.96%). This counterintuitive result suggests that a more accurate transition model is not necessarily a better training environment—the model-free baseline exploits prediction errors in a way that happens to produce good real-world policies (a form of beneficial overfitting). This finding aligns with observations in the MBRL literature that model accuracy and policy quality are not monotonically related [lambert2022investigating].</w:t>
      </w:r>
    </w:p>
    <w:p>
      <w:r>
        <w:t>% ============================================================================</w:t>
      </w:r>
    </w:p>
    <w:p>
      <w:pPr>
        <w:pStyle w:val="Heading1"/>
      </w:pPr>
      <w:r>
        <w:t>6. Discussion</w:t>
      </w:r>
    </w:p>
    <w:p>
      <w:r>
        <w:t>% ============================================================================</w:t>
      </w:r>
    </w:p>
    <w:p>
      <w:pPr>
        <w:pStyle w:val="Heading2"/>
      </w:pPr>
      <w:r>
        <w:t>6.1 Why model-based RL outperforms model-free</w:t>
      </w:r>
    </w:p>
    <w:p>
      <w:r>
        <w:t>The model-based approach’s superiority is surprising—policies trained on an approximate model outperform those trained on the real environment. Three factors explain this:</w:t>
      </w:r>
    </w:p>
    <w:p>
      <w:r>
        <w:t>Noise-free gradients. The learned environment provides smooth, deterministic state transitions (given a fixed transition model), eliminating the stochastic variation present in the real environment. This produces cleaner policy gradients and more stable optimization.</w:t>
      </w:r>
    </w:p>
    <w:p>
      <w:r>
        <w:t>Faster iteration. At 100,000 timesteps, the model-based agent sees 1,000 full episodes, while the model-free agent at the same step count has seen the same number. However, the model-based steps are ~100× faster (no parcel-level simulation), allowing more gradient updates per wall-clock minute.</w:t>
      </w:r>
    </w:p>
    <w:p>
      <w:r>
        <w:t>Implicit curriculum from trajectory distribution. The training data includes both random (exploratory) and greedy (exploitative) trajectories. The transition model learns an “average” dynamics that smooths over the stochastic greedy engine’s variability, providing a more learnable training signal than the real environment’s episodic noise.</w:t>
      </w:r>
    </w:p>
    <w:p>
      <w:pPr>
        <w:pStyle w:val="Heading2"/>
      </w:pPr>
      <w:r>
        <w:t>6.2 Causal calibration as reward regularization</w:t>
      </w:r>
    </w:p>
    <w:p>
      <w:r>
        <w:t>The calibration factor α = 0.185 effectively shrinks the reward scale by 5.4×, which has a regularization effect similar to reward clipping or normalization. However, unlike generic normalization, causal calibration is grounded in empirical evidence: the scaling is derived from the observed treatment effect of action quality on reward, not from arbitrary hyperparameter tuning. The grid search experiment (Section sec:grid_search) confirms this: the causally derived α = 0.185 falls within the optimal plateau [0.15, 0.30], matching the grid-search optimum (α = 0.200) to within 3%. This makes the calibration transferable—it would adapt to different environments where the reward exploitation pattern differs, without requiring environment-specific hyperparameter tuning.</w:t>
      </w:r>
    </w:p>
    <w:p>
      <w:pPr>
        <w:pStyle w:val="Heading2"/>
      </w:pPr>
      <w:r>
        <w:t>6.3 The accuracy–utility paradox in GeoFM augmentation</w:t>
      </w:r>
    </w:p>
    <w:p>
      <w:r>
        <w:t>The GeoFM ablation reveals a paradox: adding rich spatial context (64-dimensional foundation model embeddings) improves transition model accuracy but hurts policy quality. We hypothesize two mechanisms:</w:t>
      </w:r>
    </w:p>
    <w:p>
      <w:r>
        <w:t>Over-faithful modeling. A more accurate model more faithfully reproduces the real environment’s challenges—including the reward landscape features that cause policy drift in model-free training. A less accurate model may accidentally “smooth over” these degenerate attractors, making the optimization landscape more benign.</w:t>
      </w:r>
    </w:p>
    <w:p>
      <w:r>
        <w:t>Static feature contamination. GeoFM embeddings are static (fixed for the 2020 snapshot) while block features change every step. The constant presence of 64 high-dimensional features may dominate the block encoder’s representation, masking the dynamic features that the policy needs to respond to.</w:t>
      </w:r>
    </w:p>
    <w:p>
      <w:pPr>
        <w:pStyle w:val="Heading2"/>
      </w:pPr>
      <w:r>
        <w:t>6.4 Limitations</w:t>
      </w:r>
    </w:p>
    <w:p>
      <w:r>
        <w:t>Distribution shift. The transition model is trained on random and greedy trajectories. If the learned policy visits states far from this training distribution, prediction quality may degrade. Dyna-style hybrid training (alternating real and learned steps) could mitigate this but was not explored here.</w:t>
      </w:r>
    </w:p>
    <w:p>
      <w:r>
        <w:t>Single study area. All experiments use Bishan District. Cross-county generalization requires new trajectory data, though the transition model architecture is region-agnostic.</w:t>
      </w:r>
    </w:p>
    <w:p>
      <w:r>
        <w:t>Global calibration factor. The current calibration factor α is a global constant. A state-dependent α(s) could capture heterogeneous reward overestimation across different planning stages, potentially improving late-episode performance where distribution shift is most pronounced.</w:t>
      </w:r>
    </w:p>
    <w:p>
      <w:r>
        <w:t>Reward prediction. While state prediction is near-perfect (cosine 0.9998), reward prediction has higher error (MSE 1.097). The causal calibration addresses systematic bias but not per-step noise.</w:t>
      </w:r>
    </w:p>
    <w:p>
      <w:r>
        <w:t>% ============================================================================</w:t>
      </w:r>
    </w:p>
    <w:p>
      <w:pPr>
        <w:pStyle w:val="Heading1"/>
      </w:pPr>
      <w:r>
        <w:t>7. Conclusions</w:t>
      </w:r>
    </w:p>
    <w:p>
      <w:r>
        <w:t>% ============================================================================</w:t>
      </w:r>
    </w:p>
    <w:p>
      <w:r>
        <w:t>We have demonstrated that model-based reinforcement learning, combined with causal reward calibration, can simultaneously reduce computational cost and improve optimization quality for county-level farmland consolidation planning. The key findings are:</w:t>
      </w:r>
    </w:p>
    <w:p>
      <w:pPr>
        <w:pStyle w:val="ListNumber"/>
      </w:pPr>
      <w:r>
        <w:t>Learned environments are viable for large-scale spatial planning. A 237K-parameter transition model trained on 12,000 trajectory samples achieves 0.9998 cosine similarity with real environment dynamics and supports effective policy training.</w:t>
      </w:r>
    </w:p>
    <w:p>
      <w:pPr>
        <w:pStyle w:val="ListNumber"/>
      </w:pPr>
      <w:r>
        <w:t>Model-based policies outperform model-free baselines. Policies trained on the learned environment achieve -0.976% slope reduction on the real environment across 15 seeds, exceeding 12-hour A100-trained MARL (-0.84%) and centralized DRL (-0.79%).</w:t>
      </w:r>
    </w:p>
    <w:p>
      <w:pPr>
        <w:pStyle w:val="ListNumber"/>
      </w:pPr>
      <w:r>
        <w:t>Causal calibration addresses reward exploitation. Propensity-score-matched treatment effect estimates reveal that the learned reward function overestimates action quality differentials by 5.4×. Correcting this via a calibration factor improves policy quality by 13.0% to -1.102% (p = 0.004). The causally derived calibration factor matches the grid-search optimum to within 3%, establishing causal inference as a tuning-free calibration method.</w:t>
      </w:r>
    </w:p>
    <w:p>
      <w:pPr>
        <w:pStyle w:val="ListNumber"/>
      </w:pPr>
      <w:r>
        <w:t>An order-of-magnitude compute reduction is achievable. The complete model-based pipeline runs in ~2 hours on CPU, compared to 8–12 hours on A100 for model-free training, with zero GPU requirement.</w:t>
      </w:r>
    </w:p>
    <w:p>
      <w:pPr>
        <w:pStyle w:val="ListNumber"/>
      </w:pPr>
      <w:r>
        <w:t>Model accuracy and policy quality are not monotonically related. Adding GeoFM embeddings improves transition model accuracy by 40% but degrades policy quality, highlighting that useful model errors can benefit optimization.</w:t>
      </w:r>
    </w:p>
    <w:p>
      <w:r>
        <w:t>These results suggest that the “dream then act” paradigm—collecting diverse experience, learning environment dynamics, and optimizing policies in imagination—is a practical and effective approach for real-world spatial planning problems where environment simulation is expensive. The causal calibration mechanism provides a principled, data-driven solution to the reward exploitation problem that has limited MBRL adoption in applied domains.</w:t>
      </w:r>
    </w:p>
    <w:p>
      <w:r>
        <w:t>% ============================================================================</w:t>
      </w:r>
    </w:p>
    <w:p>
      <w:pPr>
        <w:pStyle w:val="Heading1"/>
      </w:pPr>
      <w:r>
        <w:t>8. References</w:t>
      </w:r>
    </w:p>
    <w:p>
      <w:r>
        <w:t>% ============================================================================</w:t>
      </w:r>
    </w:p>
    <w:p>
      <w:pPr>
        <w:pStyle w:val="Heading1"/>
      </w:pPr>
      <w:r>
        <w:t>References</w:t>
      </w:r>
    </w:p>
    <w:p>
      <w:r>
        <w:t>[Amodei et al.(2016)] Amodei, D., Olah, C., Steinhardt, J., et al. (2016). Concrete problems in AI safety. arXiv:1606.06565.</w:t>
      </w:r>
    </w:p>
    <w:p>
      <w:r>
        <w:t>[Bai et al.(2022)] Bai, Y., Jones, A., Ndousse, K., et al. (2022). Training a helpful and harmless assistant with RLHF. arXiv:2204.05862.</w:t>
      </w:r>
    </w:p>
    <w:p>
      <w:r>
        <w:t>[Brown et al.(2025)] Brown, C., Kazmierski, M., Pasquarella, V., et al. (2025). AlphaEarth Foundations: An embedding field model for global mapping. arXiv:2507.22291.</w:t>
      </w:r>
    </w:p>
    <w:p>
      <w:r>
        <w:t>[Ha and Schmidhuber(2018)] Ha, D. and Schmidhuber, J. (2018). World Models. arXiv:1803.10122.</w:t>
      </w:r>
    </w:p>
    <w:p>
      <w:r>
        <w:t>[Hafner et al.(2023)] Hafner, D., Pasukonis, J., Ba, J., and Lillicrap, T. (2023). Mastering diverse domains through world models. arXiv:2301.04104.</w:t>
      </w:r>
    </w:p>
    <w:p>
      <w:r>
        <w:t>[Lambert et al.(2022)] Lambert, N., Amos, B., Yadan, O., and Calandra, R. (2022). Objective mismatch in model-based reinforcement learning. In L4DC.</w:t>
      </w:r>
    </w:p>
    <w:p>
      <w:r>
        <w:t>[Levine et al.(2020)] Levine, S., Kumar, A., Tucker, G., and Fu, J. (2020). Offline reinforcement learning: Tutorial, review, and perspectives. arXiv:2005.01643.</w:t>
      </w:r>
    </w:p>
    <w:p>
      <w:r>
        <w:t>[Schrittwieser et al.(2020)] Schrittwieser, J., Antonoglou, I., Hubert, T., et al. (2020). Mastering Atari, Go, chess and shogi by planning with a learned model. Nature 588, 604–609.</w:t>
      </w:r>
    </w:p>
    <w:p>
      <w:r>
        <w:t>[Stuart(2010)] Stuart, E. A. (2010). Matching methods for causal inference: A review. Statistical Science 25(1), 1–21.</w:t>
      </w:r>
    </w:p>
    <w:p>
      <w:r>
        <w:t>[Zheng et al.(2023)] Zheng, Y., Lin, Y., Zhao, L., et al. (2023). Spatial planning of urban communities via deep reinforcement learning. Nature Computational Science 3(9), 748–762.</w:t>
      </w:r>
    </w:p>
    <w:p>
      <w:r>
        <w:t>[Zhou and Jing(2026a)] Zhou, N. and Jing, X. (2026a). A transferable DRL framework for farmland spatial layout optimization. IJGIS (submitted).</w:t>
      </w:r>
    </w:p>
    <w:p>
      <w:r>
        <w:t>[Zhou and Jing(2026b)] Zhou, N. and Jing, X. (2026b). Scaling DRL for farmland layout optimization on irregular cadastral parcels. CEAG (submitted).</w:t>
      </w:r>
    </w:p>
    <w:p>
      <w:r>
        <w:t>[Zhou and Jing(2026c)] Zhou, N. and Jing, X. (2026c). From parcels to blocks: Rescaling DRL for farmland consolidation planning. LUP (submitted).</w:t>
      </w:r>
    </w:p>
    <w:p>
      <w:r>
        <w:t>[Zhou and Jing(2026d)] Zhou, N. and Jing, X. (2026d). From blocks to county: Multi-agent DRL for cross-township farmland consolidation. CEUS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