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eastAsia="SimSun"/>
          <w:rFonts w:ascii="Times New Roman" w:hAnsi="Times New Roman"/>
          <w:b/>
          <w:sz w:val="32"/>
        </w:rPr>
        <w:t>因果校准的基于模型强化学习耕地整治优化方法：基于学习环境动力学</w:t>
      </w:r>
    </w:p>
    <w:p>
      <w:pPr>
        <w:spacing w:after="40" w:before="0"/>
        <w:jc w:val="center"/>
      </w:pPr>
      <w:r>
        <w:rPr>
          <w:rFonts w:eastAsia="SimSun"/>
          <w:rFonts w:ascii="Times New Roman" w:hAnsi="Times New Roman"/>
          <w:sz w:val="24"/>
        </w:rPr>
        <w:t>周宁ᵃ，景翔ᵃ*</w:t>
      </w:r>
    </w:p>
    <w:p>
      <w:pPr>
        <w:spacing w:after="80" w:before="0"/>
        <w:jc w:val="center"/>
      </w:pPr>
      <w:r>
        <w:rPr>
          <w:rFonts w:eastAsia="SimSun"/>
          <w:rFonts w:ascii="Times New Roman" w:hAnsi="Times New Roman"/>
          <w:sz w:val="18"/>
        </w:rPr>
        <w:t>*通讯作者。电子邮件: jingxiang@pku.edu.cn</w:t>
      </w:r>
    </w:p>
    <w:p>
      <w:pPr>
        <w:spacing w:after="360" w:before="0"/>
        <w:jc w:val="center"/>
      </w:pPr>
      <w:r>
        <w:rPr>
          <w:rFonts w:eastAsia="SimSun"/>
          <w:rFonts w:ascii="Times New Roman" w:hAnsi="Times New Roman"/>
          <w:i/>
          <w:sz w:val="20"/>
        </w:rPr>
        <w:t>ᵃ 北京大学软件与微电子学院，北京 100871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摘要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0"/>
        </w:rPr>
        <w:t>面向空间规划的深度强化学习（DRL）需要昂贵的环境交互——县域级耕地整治优化在A100 GPU上每次训练需8-12小时，且40%的训练因策略向奖励模型利用漂移而失败。本文提出一种基于模型的方法，用轻量级神经转移模型（237K参数）替代真实环境，使策略训练完全在CPU上45分钟内完成。转移模型从多样化行为策略收集的12,000条轨迹样本中学习状态动力学，与真实状态转移的余弦相似度达0.9998。一种新颖的因果奖励校准机制解决了奖励利用问题：利用真实轨迹数据的倾向得分匹配平均处理效应（ATT）估计修正学习奖励函数中的系统性偏差，产生校准因子以缩放高质量与低质量动作之间的预测奖励差异。在13个乡镇（2,600个区块、52,515个地块）的县域级耕地整治实验中，使用15个随机种子验证了三项发现：(1) 基于模型的策略在真实环境上实现-0.976%±0.129%的坡度降低，超过在A100上训练12小时的无模型MARL（-0.84%±0.07%）；(2) 因果校准进一步将性能提升至-1.102%±0.100%，统计显著提升13.0%（p=0.004，Mann-Whitney U检验）；(3) 因果推断得到的校准因子（α=0.185）与网格搜索最优值（α=0.200）仅差3%，证明因果推断提供了免调参的校准替代方案。完整流程无需GPU，在普通硬件上2小时内完成。</w:t>
      </w:r>
    </w:p>
    <w:p>
      <w:pPr>
        <w:spacing w:after="360"/>
      </w:pPr>
      <w:r>
        <w:rPr>
          <w:rFonts w:eastAsia="SimSun"/>
          <w:rFonts w:ascii="Times New Roman" w:hAnsi="Times New Roman"/>
          <w:b/>
          <w:sz w:val="20"/>
        </w:rPr>
        <w:t xml:space="preserve">关键词: </w:t>
      </w:r>
      <w:r>
        <w:rPr>
          <w:rFonts w:eastAsia="SimSun"/>
          <w:rFonts w:ascii="Times New Roman" w:hAnsi="Times New Roman"/>
          <w:sz w:val="20"/>
        </w:rPr>
        <w:t>基于模型的强化学习; 因果奖励校准; 耕地整治; 转移模型; 倾向得分匹配; 空间规划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1. 引言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面向空间规划问题的强化学习面临根本性的计算瓶颈：环境模拟代价高昂。在耕地整治优化中，每个环境步骤需要更新地块级土地利用状态、重新计算空间邻接指标并评估百亩方等策略目标。训练单个策略需500,000步，在A100 GPU上消耗8-12小时，且25-40%因策略漂移失败。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基于模型的强化学习（MBRL）提供原则性解决方案：学习近似环境状态动力学的转移模型，在学习模型上训练策略。然而MBRL尚未应用于大规模空间规划问题。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本文做出三项贡献：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1. 面向空间规划的学习环境：237K参数转移模型，余弦相似度0.9998，CPU 60分钟训练。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2. 因果奖励校准：修正5.4倍奖励高估，提升策略质量13.0%（p=0.004），因果推断α与网格搜索最优仅差3%。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3. 数量级计算缩减：完整流程CPU 2小时，无需GPU，15种子统计显著。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2. 相关工作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2.1 基于模型的强化学习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MBRL方法通过学习环境动力学来降低样本复杂度。World Models引入了在学习的隐动力学模型生成的"梦境"轨迹上训练策略的概念。Dreamer V3将此扩展至多样化的连续控制领域。MuZero通过学习模型进行规划，在棋类和Atari中实现了超人性能。在空间领域，Zheng等将无模型DRL应用于城市社区规划，但尚无先前工作将MBRL应用于大规模空间规划。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本文方法与Dreamer风格方法的关键区别在于：我们不联合学习隐状态表示和动力学模型，而是直接在环境的原始观测空间中操作。这是可行的，因为耕地优化环境已提供了紧凑、信息丰富的状态表示（每区块17个特征×2,600个区块+12个全局特征），无需学习编码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2.2 奖励模型利用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智能体利用学习奖励模型的问题已有充分记录。Amodei等将奖励骇客识别为关键安全问题。在离线RL中，Levine等表明分布外动作可利用价值函数高估。本文的因果校准方法与RLHF中的奖励模型修正方法相关，但使用因果推断而非人类反馈来锚定修正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2.3 DRL用于耕地整治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本工作建立在渐进式扩展计划之上：合成数据上的地块级DRL、真实地籍数据上的可扩展性分析、区块级空间抽象在单个乡镇上实现100%收敛、以及多智能体县域级协调。本文解决了县域级方法中识别的计算成本和可靠性限制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2.4 因果推断用于奖励校准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倾向得分方法通过平衡处理组和对照组之间的混杂因素，从观测数据中估计处理效应。我们将此框架适配到RL设置："处理"是选择高潜力区块，"结果"是产生的奖励，"混杂因素"是影响区块选择和奖励的全局状态特征。据我们所知，这是首次使用因果推断校准学习环境的奖励函数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3. 问题设定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我们考虑县域级耕地整治MDP。状态s_t包含13个乡镇2,600个整治区块的逐区块特征和全局县域指标，总维度44,212。每步智能体选择一个区块（对无效区块使用动作掩码），环境使用连通性感知贪心引擎在该区块内执行5次耕地-林地交换。回合持续100步（总预算：500次交换）。奖励结合坡度降低、连片度改善和百亩方形成指标。无模型训练需500,000个时步，每种子8-12小时A100，33%失败率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4. 方法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本方法包含三个阶段：(1)轨迹收集；(2)转移模型训练；(3)策略优化+可选因果校准。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4.1 轨迹收集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从真实环境收集12,000条状态-动作-奖励-下一状态转移，使用随机策略（6,000条）和贪心策略（6,000条）。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4.2 神经转移模型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237K参数的转移模型预测下一观测和奖励。架构：区块编码器+动作嵌入+全局编码器+上下文聚合（128维），三个预测头分别输出区块残差、全局残差和奖励。CPU上60分钟训练完成，验证余弦相似度0.9998。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4.3 策略优化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LearnedCountyEnv封装转移模型为Gymnasium环境。使用Maskable PPO训练100K步，CPU上25-57分钟。策略在学习环境训练，在真实环境评估。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4.4 因果奖励校准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通过倾向得分匹配估计动作质量对奖励的真实因果效应（ATT=0.049），与学习模型预测效应（0.265）对比，得到校准因子α=0.185。训练时所有奖励乘以α，修正5.4倍的系统性高估。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5. 实验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5.1 主要结果</w:t>
      </w:r>
    </w:p>
    <w:p>
      <w:pPr>
        <w:spacing w:after="80" w:before="240"/>
        <w:jc w:val="center"/>
      </w:pPr>
      <w:r>
        <w:rPr>
          <w:rFonts w:eastAsia="SimSun"/>
          <w:rFonts w:ascii="Times New Roman" w:hAnsi="Times New Roman"/>
          <w:b/>
          <w:sz w:val="20"/>
        </w:rPr>
        <w:t>表1 方法比较。**表示p&lt;0.01（Mann-Whitney U检验）。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方法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种子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坡度(%)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显著性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连片度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硬件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序列贪心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+0.008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10s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集中式DRL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-0.79±0.36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+0.017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8h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A100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MARL DRL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-0.84±0.07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+0.017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12h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A100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基于模型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-0.976±0.129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+0.013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~2h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基于模型+校准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-1.102±0.100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+0.011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~2h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CPU</w:t>
            </w:r>
          </w:p>
        </w:tc>
      </w:tr>
    </w:tbl>
    <w:p/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基于模型策略（15种子）超过MARL 16%、集中式24%。因果校准后提升至-1.102%（p=0.004）。CPU约2小时，快16倍且无需GPU。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5.2 因果校准消融</w:t>
      </w:r>
    </w:p>
    <w:p>
      <w:pPr>
        <w:spacing w:after="80" w:before="240"/>
        <w:jc w:val="center"/>
      </w:pPr>
      <w:r>
        <w:rPr>
          <w:rFonts w:eastAsia="SimSun"/>
          <w:rFonts w:ascii="Times New Roman" w:hAnsi="Times New Roman"/>
          <w:b/>
          <w:sz w:val="20"/>
        </w:rPr>
        <w:t>表2 因果校准效果（15种子）。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坡度(%)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p值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胜出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无校准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-0.976±0.129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有校准(α=0.185)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-1.102±0.100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0.004**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10/15</w:t>
            </w:r>
          </w:p>
        </w:tc>
      </w:tr>
    </w:tbl>
    <w:p/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5.3 因果校准 vs 网格搜索</w:t>
      </w:r>
    </w:p>
    <w:p>
      <w:pPr>
        <w:spacing w:after="80" w:before="240"/>
        <w:jc w:val="center"/>
      </w:pPr>
      <w:r>
        <w:rPr>
          <w:rFonts w:eastAsia="SimSun"/>
          <w:rFonts w:ascii="Times New Roman" w:hAnsi="Times New Roman"/>
          <w:b/>
          <w:sz w:val="20"/>
        </w:rPr>
        <w:t>表3 α网格搜索（每值5种子）。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坡度(%)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b/>
                <w:sz w:val="18"/>
              </w:rPr>
              <w:t>标准差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-1.123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0.151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0.109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0.185(因果)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-1.171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0.103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0.200(最优)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-1.209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0.092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0.300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-1.171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0.077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0.500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-1.043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0.065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0.700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-0.991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0.047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1.000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-0.959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SimSun"/>
                <w:rFonts w:ascii="Times New Roman" w:hAnsi="Times New Roman"/>
                <w:sz w:val="18"/>
              </w:rPr>
              <w:t>0.055</w:t>
            </w:r>
          </w:p>
        </w:tc>
      </w:tr>
    </w:tbl>
    <w:p/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因果α=0.185与网格最优α=0.200仅差3.1%，证明因果校准为免调参方法。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4"/>
        </w:rPr>
        <w:t>5.4 GeoFM消融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GeoFM嵌入将转移模型损失降低40%但策略质量下降（-0.70% vs -0.96%），揭示模型精度与策略质量的非单调关系。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6. 讨论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基于模型方法优于无模型的三个原因：无噪声梯度、更快迭代、隐式课程。因果校准α=0.185落在最优平台[0.15,0.30]内，与网格搜索最优仅差3%，证明因果推断提供了基于经验证据的免调参校准。GeoFM消融揭示精度-效用悖论：更精确的模型可能更忠实地再现退化吸引子。</w:t>
      </w:r>
    </w:p>
    <w:p>
      <w:pPr>
        <w:spacing w:after="120" w:before="0"/>
      </w:pPr>
      <w:r>
        <w:rPr>
          <w:rFonts w:eastAsia="SimSun"/>
          <w:rFonts w:ascii="Times New Roman" w:hAnsi="Times New Roman"/>
          <w:sz w:val="22"/>
        </w:rPr>
        <w:t>局限性：分布偏移、单一研究区域、全局校准因子、奖励预测噪声。状态依赖α(s)和跨区域泛化留作未来工作。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7. 结论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1. 237K参数转移模型支持有效策略训练（余弦相似度0.9998）。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2. 15种子基于模型策略实现-0.976%坡度降低，超过无模型基线。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3. 因果校准提升13.0%至-1.102%（p=0.004），与网格搜索最优仅差3%。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4. 完整流程CPU约2小时，比无模型快16倍且无需GPU。</w:t>
      </w:r>
    </w:p>
    <w:p>
      <w:pPr>
        <w:spacing w:after="80"/>
        <w:ind w:left="454"/>
      </w:pPr>
      <w:r>
        <w:rPr>
          <w:rFonts w:eastAsia="SimSun"/>
          <w:rFonts w:ascii="Times New Roman" w:hAnsi="Times New Roman"/>
          <w:sz w:val="22"/>
        </w:rPr>
        <w:t>5. GeoFM消融揭示模型精度与策略质量非单调关系。</w:t>
      </w:r>
    </w:p>
    <w:p>
      <w:pPr>
        <w:spacing w:after="160" w:before="360"/>
      </w:pPr>
      <w:r>
        <w:rPr>
          <w:rFonts w:eastAsia="SimSun"/>
          <w:rFonts w:ascii="Times New Roman" w:hAnsi="Times New Roman"/>
          <w:b/>
          <w:sz w:val="28"/>
        </w:rPr>
        <w:t>参考文献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[Amodei et al., 2016] Concrete problems in AI safety. arXiv:1606.06565.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[Hafner et al., 2023] Mastering diverse domains through world models. arXiv:2301.04104.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[Lambert et al., 2022] Objective mismatch in MBRL. L4DC.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[Schrittwieser et al., 2020] Mastering Atari, Go, chess and shogi. Nature 588, 604-609.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[Stuart, 2010] Matching methods for causal inference. Statistical Science 25(1), 1-21.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[Zheng et al., 2023] Spatial planning via DRL. Nature Computational Science 3(9), 748-762.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[Zhou and Jing, 2026a] 可迁移DRL耕地空间布局优化框架. IJGIS (已投稿).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[Zhou and Jing, 2026b] DRL耕地布局优化：机遇与局限. CEAG (已投稿).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[Zhou and Jing, 2026c] 从地块到田块：DRL耕地整治规划方法. LUP (已投稿).</w:t>
      </w:r>
    </w:p>
    <w:p>
      <w:pPr>
        <w:spacing w:after="60" w:before="0"/>
      </w:pPr>
      <w:r>
        <w:rPr>
          <w:rFonts w:eastAsia="SimSun"/>
          <w:rFonts w:ascii="Times New Roman" w:hAnsi="Times New Roman"/>
          <w:sz w:val="18"/>
        </w:rPr>
        <w:t>[Zhou and Jing, 2026d] 从田块到县域：多智能体DRL耕地整治协调. CEUS (已投稿).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