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100" w:line="276" w:lineRule="auto"/>
        <w:jc w:val="center"/>
      </w:pPr>
      <w:r>
        <w:rPr>
          <w:rFonts w:ascii="黑体" w:hAnsi="黑体" w:eastAsia="黑体"/>
          <w:b/>
          <w:color w:val="000000"/>
          <w:sz w:val="40"/>
        </w:rPr>
        <w:t>2026级数据科学与大数据技术专业培养方案</w:t>
      </w:r>
    </w:p>
    <w:p>
      <w:pPr>
        <w:spacing w:before="0" w:after="260" w:line="288" w:lineRule="auto"/>
        <w:jc w:val="center"/>
      </w:pPr>
      <w:r>
        <w:rPr>
          <w:rFonts w:ascii="宋体" w:hAnsi="宋体" w:eastAsia="宋体"/>
          <w:b w:val="0"/>
          <w:color w:val="505050"/>
          <w:sz w:val="19"/>
        </w:rPr>
        <w:t>专业代码 080910T｜适用年级 2026 级｜文件版本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36"/>
        <w:gridCol w:w="4536"/>
      </w:tblGrid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培养单位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计算机与人工智能学院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修业年限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四年，授予工学学士学位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总学分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160 学分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方案状态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现行有效</w:t>
            </w:r>
          </w:p>
        </w:tc>
      </w:tr>
    </w:tbl>
    <w:p/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本方案规定数据科学与大数据技术专业 2026 级学生四年的培养目标、毕业要求、课程结构和学分要求。方案用于指导教师组织教学、学生规划学习进度，也作为课程教学大纲审核的上位依据。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一、培养目标</w:t>
      </w:r>
    </w:p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毕业生能够面向数据治理、数据分析与智能应用等领域，综合运用数学、统计和计算机知识解决工程问题；能够在多学科团队中承担数据工程、模型开发或项目管理工作，并遵守工程伦理和数据安全规范。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毕业五年左右能够独立承担数据工程项目中的核心开发或分析任务。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能够针对业务问题选择合适的数据处理、存储和分析方法。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能够在团队中清晰表达技术方案，并对实施结果承担责任。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二、毕业要求与指标点</w:t>
      </w:r>
    </w:p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毕业要求采用学校 2026 版工程教育认证通用框架。课程教学大纲必须标明课程支撑的指标点，并提供教学内容与考核证据。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毕业要求</w:t>
            </w:r>
          </w:p>
        </w:tc>
        <w:tc>
          <w:tcPr>
            <w:tcW w:type="dxa" w:w="1531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指标点编号</w:t>
            </w:r>
          </w:p>
        </w:tc>
        <w:tc>
          <w:tcPr>
            <w:tcW w:type="dxa" w:w="572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指标点摘要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工程知识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</w:t>
            </w:r>
          </w:p>
        </w:tc>
        <w:tc>
          <w:tcPr>
            <w:tcW w:type="dxa" w:w="57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能够运用计算机与数学知识表达数据工程问题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问题分析</w:t>
            </w:r>
          </w:p>
        </w:tc>
        <w:tc>
          <w:tcPr>
            <w:tcW w:type="dxa" w:w="153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2.3</w:t>
            </w:r>
          </w:p>
        </w:tc>
        <w:tc>
          <w:tcPr>
            <w:tcW w:type="dxa" w:w="5726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能够建立概念模型、关系模型和约束方案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设计/开发解决方案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3.2</w:t>
            </w:r>
          </w:p>
        </w:tc>
        <w:tc>
          <w:tcPr>
            <w:tcW w:type="dxa" w:w="57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能够设计满足业务约束的数据管理与处理方案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研究</w:t>
            </w:r>
          </w:p>
        </w:tc>
        <w:tc>
          <w:tcPr>
            <w:tcW w:type="dxa" w:w="153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4.1</w:t>
            </w:r>
          </w:p>
        </w:tc>
        <w:tc>
          <w:tcPr>
            <w:tcW w:type="dxa" w:w="5726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能够基于实验或实测数据形成有效结论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使用现代工具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</w:t>
            </w:r>
          </w:p>
        </w:tc>
        <w:tc>
          <w:tcPr>
            <w:tcW w:type="dxa" w:w="57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能够选择并使用数据库、开发框架和分析工具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工程与社会</w:t>
            </w:r>
          </w:p>
        </w:tc>
        <w:tc>
          <w:tcPr>
            <w:tcW w:type="dxa" w:w="153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6.1</w:t>
            </w:r>
          </w:p>
        </w:tc>
        <w:tc>
          <w:tcPr>
            <w:tcW w:type="dxa" w:w="5726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能够评价专业实践对安全、隐私和社会的影响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个人和团队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9.2</w:t>
            </w:r>
          </w:p>
        </w:tc>
        <w:tc>
          <w:tcPr>
            <w:tcW w:type="dxa" w:w="57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能够在团队中承担设计、开发、测试或汇报职责</w:t>
            </w:r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三、学分与学时结构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课程模块</w:t>
            </w:r>
          </w:p>
        </w:tc>
        <w:tc>
          <w:tcPr>
            <w:tcW w:type="dxa" w:w="1757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最低学分</w:t>
            </w:r>
          </w:p>
        </w:tc>
        <w:tc>
          <w:tcPr>
            <w:tcW w:type="dxa" w:w="181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学时占比</w:t>
            </w:r>
          </w:p>
        </w:tc>
        <w:tc>
          <w:tcPr>
            <w:tcW w:type="dxa" w:w="3231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主要构成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通识教育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31.3%</w:t>
            </w:r>
          </w:p>
        </w:tc>
        <w:tc>
          <w:tcPr>
            <w:tcW w:type="dxa" w:w="32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思想政治、外语、体育、通识选修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学科基础</w:t>
            </w:r>
          </w:p>
        </w:tc>
        <w:tc>
          <w:tcPr>
            <w:tcW w:type="dxa" w:w="1757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25.0%</w:t>
            </w:r>
          </w:p>
        </w:tc>
        <w:tc>
          <w:tcPr>
            <w:tcW w:type="dxa" w:w="323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数学、统计、程序设计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专业核心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21.9%</w:t>
            </w:r>
          </w:p>
        </w:tc>
        <w:tc>
          <w:tcPr>
            <w:tcW w:type="dxa" w:w="32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数据库、数据挖掘、分布式计算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专业选修</w:t>
            </w:r>
          </w:p>
        </w:tc>
        <w:tc>
          <w:tcPr>
            <w:tcW w:type="dxa" w:w="1757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15.6%</w:t>
            </w:r>
          </w:p>
        </w:tc>
        <w:tc>
          <w:tcPr>
            <w:tcW w:type="dxa" w:w="323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机器学习、数据治理、可视化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集中实践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6.2%</w:t>
            </w:r>
          </w:p>
        </w:tc>
        <w:tc>
          <w:tcPr>
            <w:tcW w:type="dxa" w:w="32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课程设计、专业实习、毕业设计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757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160</w:t>
            </w:r>
          </w:p>
        </w:tc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323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毕业最低学分要求</w:t>
            </w:r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四、数据库原理及应用课程定位</w:t>
      </w:r>
    </w:p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数据库原理及应用为专业核心课，安排在第三学期，4 学分、64 学时。课程承担关系数据模型、SQL、数据库设计、事务与恢复、查询优化等核心内容，并为后续的数据仓库、数据治理与毕业设计提供基础。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课程信息</w:t>
            </w:r>
          </w:p>
        </w:tc>
        <w:tc>
          <w:tcPr>
            <w:tcW w:type="dxa" w:w="6803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课程代码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DSB201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先修课程</w:t>
            </w:r>
          </w:p>
        </w:tc>
        <w:tc>
          <w:tcPr>
            <w:tcW w:type="dxa" w:w="6803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程序设计基础、离散数学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后修课程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数据仓库与 BI、大数据平台实践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考核结构</w:t>
            </w:r>
          </w:p>
        </w:tc>
        <w:tc>
          <w:tcPr>
            <w:tcW w:type="dxa" w:w="6803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过程性考核 50%，终结性考核 50%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审核要求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课程目标、教学内容、考核方式与支撑指标点须形成完整闭环</w:t>
            </w:r>
          </w:p>
        </w:tc>
      </w:tr>
    </w:tbl>
    <w:sectPr w:rsidR="00FC693F" w:rsidRPr="0006063C" w:rsidSect="00034616">
      <w:pgSz w:w="11906" w:h="16838"/>
      <w:pgMar w:top="1247" w:right="1417" w:bottom="1191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