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数据库原理及应用课程</w:t>
      </w:r>
      <w:r>
        <w:br/>
      </w:r>
      <w:r>
        <w:rPr>
          <w:rFonts w:ascii="黑体" w:hAnsi="黑体" w:eastAsia="黑体"/>
          <w:b/>
          <w:color w:val="000000"/>
          <w:sz w:val="40"/>
        </w:rPr>
        <w:t>教学大纲编写规范 2026版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文件版本 V1.0｜发布单位 计算机与人工智能学院｜审核日期 2026年9月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本规范规定数据库原理及应用课程教学大纲的结构、目标映射、学时计算、考核设计和版本说明。大纲只有同时满足必填内容、数据一致和考核可追溯三项要求，才能提交学院审核。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一、适用范围与基本要求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适用于数据科学与大数据技术专业开设的数据库原理及应用课程。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文件标题应包含课程名称和文件类型，正文应写明课程代码、学分、总学时、适用对象和先修课程。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课程目标须与毕业要求指标点逐项对应，每项目标至少有一条教学内容依据和一条考核依据。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数据、术语、指标点编号和课程名称在全文必须一致。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二、必填章节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76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必须包含的信息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审核要点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基本信息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课程代码、学分、总学时、学期、适用专业、先修课程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字段齐全且与培养方案一致</w:t>
            </w:r>
          </w:p>
        </w:tc>
      </w:tr>
      <w:tr>
        <w:tc>
          <w:tcPr>
            <w:tcW w:type="dxa" w:w="192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课程目标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目标编号、能力表述、支撑指标点</w:t>
            </w:r>
          </w:p>
        </w:tc>
        <w:tc>
          <w:tcPr>
            <w:tcW w:type="dxa" w:w="294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目标可评价、指标点有效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教学内容与学时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教学单元、主要内容、学时、目标对应关系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单元学时合计等于总学时</w:t>
            </w:r>
          </w:p>
        </w:tc>
      </w:tr>
      <w:tr>
        <w:tc>
          <w:tcPr>
            <w:tcW w:type="dxa" w:w="192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教学方式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课堂讲授、实验、项目及各自组织方式</w:t>
            </w:r>
          </w:p>
        </w:tc>
        <w:tc>
          <w:tcPr>
            <w:tcW w:type="dxa" w:w="294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与能力目标匹配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考核方式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考核项目、比例、评价标准、对应目标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比例合计 100%</w:t>
            </w:r>
          </w:p>
        </w:tc>
      </w:tr>
      <w:tr>
        <w:tc>
          <w:tcPr>
            <w:tcW w:type="dxa" w:w="192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教材与资源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教材、参考书、数据库平台或实验环境</w:t>
            </w:r>
          </w:p>
        </w:tc>
        <w:tc>
          <w:tcPr>
            <w:tcW w:type="dxa" w:w="294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能够支撑课程实施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版本说明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版本号、编制人、审核记录、主要变更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可追溯修订内容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三、课程目标与指标点映射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课程目标应使用可观察的行为描述。团队协作、沟通表达等能力目标必须安排项目汇报、同伴评价或过程记录等可留存证据的考核方式。仅设置闭卷考试，不足以证明团队协作目标已经达成。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课程目标编号、指标点编号、教学内容编号和考核项目编号应保持一致。例如目标 D2 对应指标点 3.2，则教学内容和考核依据也应明确标注 D2，便于审核人员追踪。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四、学时计算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总学时是课程实施的总量，应等于理论教学、实验教学、项目实践等各单元学时之和。审核时须展示参与计算的全部数字，不得只写“共 64 学时”而不拆分明细。出现差额时，应先核对单元学时和总学时，再修改课程安排。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442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计算规则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合格示例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总学时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各教学单元学时之和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 + 20 + 12 + 10 + 8 + 6 = 64</w:t>
            </w:r>
          </w:p>
        </w:tc>
      </w:tr>
      <w:tr>
        <w:tc>
          <w:tcPr>
            <w:tcW w:type="dxa" w:w="192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理论学时</w:t>
            </w:r>
          </w:p>
        </w:tc>
        <w:tc>
          <w:tcPr>
            <w:tcW w:type="dxa" w:w="442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各讲授单元学时之和</w:t>
            </w:r>
          </w:p>
        </w:tc>
        <w:tc>
          <w:tcPr>
            <w:tcW w:type="dxa" w:w="328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48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实验学时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各实验或项目单元学时之和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192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一致性</w:t>
            </w:r>
          </w:p>
        </w:tc>
        <w:tc>
          <w:tcPr>
            <w:tcW w:type="dxa" w:w="442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总学时 = 理论学时 + 实验学时</w:t>
            </w:r>
          </w:p>
        </w:tc>
        <w:tc>
          <w:tcPr>
            <w:tcW w:type="dxa" w:w="328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64 = 48 + 16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五、考核方式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过程性考核和终结性考核比例之和必须为 100%。过程性考核原则上不低于 40%，终结性考核不高于 60%。过程性考核应覆盖实验、项目、课堂参与或阶段性成果，终结性考核应验证课程核心知识掌握情况。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建议比例</w:t>
            </w:r>
          </w:p>
        </w:tc>
        <w:tc>
          <w:tcPr>
            <w:tcW w:type="dxa" w:w="42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应形成的证据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对应目标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课堂参与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考勤与课堂任务记录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</w:tr>
      <w:tr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基础实验</w:t>
            </w:r>
          </w:p>
        </w:tc>
        <w:tc>
          <w:tcPr>
            <w:tcW w:type="dxa" w:w="15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25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实验报告与结果</w:t>
            </w:r>
          </w:p>
        </w:tc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D1、D2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需求、设计、实现、汇报、分工记录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D3、D4</w:t>
            </w:r>
          </w:p>
        </w:tc>
      </w:tr>
      <w:tr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期末闭卷考试</w:t>
            </w:r>
          </w:p>
        </w:tc>
        <w:tc>
          <w:tcPr>
            <w:tcW w:type="dxa" w:w="153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425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试卷与评分标准</w:t>
            </w:r>
          </w:p>
        </w:tc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D1-D3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所有比例相加必须为 100%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六、审核闭环与版本说明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提交审核的新版本须在变更说明中写明上一版问题及处理结果。人工退回后，新版应能够逐项说明“已解决、未解决或无法判断”；修订内容必须能够与总学时、考核比例和目标映射等原始依据对应。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七、合格性检查表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6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665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06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核心内容完整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基本信息、目标、内容、学时、考核和资源均有实质内容</w:t>
            </w:r>
          </w:p>
        </w:tc>
      </w:tr>
      <w:tr>
        <w:tc>
          <w:tcPr>
            <w:tcW w:type="dxa" w:w="68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665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关键数据一致</w:t>
            </w:r>
          </w:p>
        </w:tc>
        <w:tc>
          <w:tcPr>
            <w:tcW w:type="dxa" w:w="606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课程名称、代码、学分、学时和指标点编号全文一致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版本变化清晰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首版说明初始状态；修订版说明主要变更并关联退回意见</w:t>
            </w:r>
          </w:p>
        </w:tc>
      </w:tr>
      <w:tr>
        <w:tc>
          <w:tcPr>
            <w:tcW w:type="dxa" w:w="68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665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结论有材料依据</w:t>
            </w:r>
          </w:p>
        </w:tc>
        <w:tc>
          <w:tcPr>
            <w:tcW w:type="dxa" w:w="606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问题和修订结论引用正文数字或规范要求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必填章节齐全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七类必填信息没有缺失</w:t>
            </w:r>
          </w:p>
        </w:tc>
      </w:tr>
      <w:tr>
        <w:tc>
          <w:tcPr>
            <w:tcW w:type="dxa" w:w="68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665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总学时一致</w:t>
            </w:r>
          </w:p>
        </w:tc>
        <w:tc>
          <w:tcPr>
            <w:tcW w:type="dxa" w:w="606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总学时等于各教学单元学时之和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目标有内容支撑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每项目标至少对应一个教学单元</w:t>
            </w:r>
          </w:p>
        </w:tc>
      </w:tr>
      <w:tr>
        <w:tc>
          <w:tcPr>
            <w:tcW w:type="dxa" w:w="68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665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目标有考核支撑</w:t>
            </w:r>
          </w:p>
        </w:tc>
        <w:tc>
          <w:tcPr>
            <w:tcW w:type="dxa" w:w="606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每项目标至少对应一个考核项目，团队目标含协作证据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6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考核比例合计 100%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过程性考核与终结性考核加总为 100%</w:t>
            </w:r>
          </w:p>
        </w:tc>
      </w:tr>
      <w:tr>
        <w:tc>
          <w:tcPr>
            <w:tcW w:type="dxa" w:w="68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665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模板字段符合要求</w:t>
            </w:r>
          </w:p>
        </w:tc>
        <w:tc>
          <w:tcPr>
            <w:tcW w:type="dxa" w:w="6066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标题、课程代码、学分、学时等固定字段可识别</w:t>
            </w:r>
          </w:p>
        </w:tc>
      </w:tr>
    </w:tbl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