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00" w:line="276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数据库原理及应用课程教学大纲</w:t>
      </w:r>
    </w:p>
    <w:p>
      <w:pPr>
        <w:spacing w:before="0" w:after="260" w:line="288" w:lineRule="auto"/>
        <w:jc w:val="center"/>
      </w:pPr>
      <w:r>
        <w:rPr>
          <w:rFonts w:ascii="宋体" w:hAnsi="宋体" w:eastAsia="宋体"/>
          <w:b w:val="0"/>
          <w:color w:val="505050"/>
          <w:sz w:val="19"/>
        </w:rPr>
        <w:t>文件版本 V2.0｜整改复审稿｜计算机与人工智能学院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课程代码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DSB201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课程学分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 学分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总学时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64 学时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适用学期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2026-2027 学年第一学期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适用专业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数据科学与大数据技术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先修课程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程序设计基础、离散数学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编制人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胡军成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审核记录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2026-10-23 根据课程组退回意见完成整改</w:t>
            </w:r>
          </w:p>
        </w:tc>
      </w:tr>
      <w:tr>
        <w:tc>
          <w:tcPr>
            <w:tcW w:type="dxa" w:w="181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版本状态</w:t>
            </w:r>
          </w:p>
        </w:tc>
        <w:tc>
          <w:tcPr>
            <w:tcW w:type="dxa" w:w="72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整改稿 V2.0，提交复审</w:t>
            </w:r>
          </w:p>
        </w:tc>
      </w:tr>
    </w:tbl>
    <w:p/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一、课程简介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课程面向数据科学与大数据技术专业本科生，系统讲解关系数据模型、结构化查询语言、数据库设计与规范化、事务并发控制和查询优化。课程通过实验和综合项目训练学生设计、实现和评价数据管理方案的能力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二、课程目标与指标点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目标编号</w:t>
            </w:r>
          </w:p>
        </w:tc>
        <w:tc>
          <w:tcPr>
            <w:tcW w:type="dxa" w:w="49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课程目标</w:t>
            </w:r>
          </w:p>
        </w:tc>
        <w:tc>
          <w:tcPr>
            <w:tcW w:type="dxa" w:w="147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支撑指标点</w:t>
            </w:r>
          </w:p>
        </w:tc>
        <w:tc>
          <w:tcPr>
            <w:tcW w:type="dxa" w:w="277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主要教学内容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49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能够解释关系模型、完整性约束和 SQL 的核心概念。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关系模型与 SQL</w:t>
            </w:r>
          </w:p>
        </w:tc>
      </w:tr>
      <w:tr>
        <w:tc>
          <w:tcPr>
            <w:tcW w:type="dxa" w:w="102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493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能够依据业务需求完成概念设计、关系模式设计和规范化。</w:t>
            </w:r>
          </w:p>
        </w:tc>
        <w:tc>
          <w:tcPr>
            <w:tcW w:type="dxa" w:w="147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277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数据库设计与规范化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49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能够分析事务并发、恢复、索引与查询优化问题。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2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事务、索引与优化实验</w:t>
            </w:r>
          </w:p>
        </w:tc>
      </w:tr>
      <w:tr>
        <w:tc>
          <w:tcPr>
            <w:tcW w:type="dxa" w:w="1020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D4</w:t>
            </w:r>
          </w:p>
        </w:tc>
        <w:tc>
          <w:tcPr>
            <w:tcW w:type="dxa" w:w="493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能够在团队项目中承担数据库设计、实现或汇报职责，并依据分工记录完成同伴评价。</w:t>
            </w:r>
          </w:p>
        </w:tc>
        <w:tc>
          <w:tcPr>
            <w:tcW w:type="dxa" w:w="147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</w:t>
            </w:r>
          </w:p>
        </w:tc>
        <w:tc>
          <w:tcPr>
            <w:tcW w:type="dxa" w:w="277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三、教学内容与学时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教学单元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理论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9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合计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数据库系统概述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数据库体系结构、数据模型、数据管理系统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关系模型与 SQL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关系代数、完整性约束、DDL、DML、查询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D1、D2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数据库设计与规范化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ER 模型、关系模式转换、函数依赖、范式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事务并发与恢复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事务、锁、隔离级别、日志与恢复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索引与查询优化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B+ 树、执行计划、索引选择、性能分析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D3</w:t>
            </w:r>
          </w:p>
        </w:tc>
      </w:tr>
      <w:tr>
        <w:tc>
          <w:tcPr>
            <w:tcW w:type="dxa" w:w="226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</w:t>
            </w:r>
          </w:p>
        </w:tc>
        <w:tc>
          <w:tcPr>
            <w:tcW w:type="dxa" w:w="408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需求分析、数据库实现、测试、汇报与同伴评价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D2、D4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各教学单元学时之和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学时核对：8 + 20 + 12 + 10 + 8 + 6 = 64 学时；理论 48 学时，实验 16 学时，总学时与理论、实验学时之和一致。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四、教学方式</w:t>
      </w:r>
    </w:p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课程以课堂讲授建立概念框架，以数据库实验训练 SQL 和性能分析能力，以综合项目训练数据库设计和协作能力。实验使用统一数据库环境，项目按 3 至 4 人分组实施，保留需求文档、设计稿、代码、演示记录和分工证据。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五、考核方式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15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考核项目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476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评价依据</w:t>
            </w:r>
          </w:p>
        </w:tc>
        <w:tc>
          <w:tcPr>
            <w:tcW w:type="dxa" w:w="204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对应目标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课堂参与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考勤与课堂任务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</w:t>
            </w:r>
          </w:p>
        </w:tc>
      </w:tr>
      <w:tr>
        <w:tc>
          <w:tcPr>
            <w:tcW w:type="dxa" w:w="215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基础实验</w:t>
            </w:r>
          </w:p>
        </w:tc>
        <w:tc>
          <w:tcPr>
            <w:tcW w:type="dxa" w:w="124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与优化实验报告</w:t>
            </w:r>
          </w:p>
        </w:tc>
        <w:tc>
          <w:tcPr>
            <w:tcW w:type="dxa" w:w="204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D1、D2、D3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设计文档、实现、项目汇报、同伴评价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D2、D4</w:t>
            </w:r>
          </w:p>
        </w:tc>
      </w:tr>
      <w:tr>
        <w:tc>
          <w:tcPr>
            <w:tcW w:type="dxa" w:w="2154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期末闭卷考试</w:t>
            </w:r>
          </w:p>
        </w:tc>
        <w:tc>
          <w:tcPr>
            <w:tcW w:type="dxa" w:w="1247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4762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概念理解、建模与 SQL 分析</w:t>
            </w:r>
          </w:p>
        </w:tc>
        <w:tc>
          <w:tcPr>
            <w:tcW w:type="dxa" w:w="204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D1-D3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过程性考核 50%，终结性考核 50%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spacing w:before="0" w:after="140" w:line="372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目标 D4 的考核证据包括小组项目报告、现场汇报、组内分工记录和同伴评价；同伴评价得分单独记录，并由教师核定。考核比例核对：10% + 20% + 20% + 50% = 100%。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六、教材与教学资源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主要教材：数据库系统概论，高等教育出版社。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参考资源：PostgreSQL 15 官方文档、课程实验指导书、公开数据集。</w:t>
      </w:r>
    </w:p>
    <w:p>
      <w:pPr>
        <w:pStyle w:val="ListBullet"/>
        <w:spacing w:before="0" w:after="60" w:line="336" w:lineRule="auto"/>
        <w:ind w:left="420" w:hanging="210"/>
      </w:pPr>
      <w:r>
        <w:rPr>
          <w:rFonts w:ascii="宋体" w:hAnsi="宋体" w:eastAsia="宋体"/>
          <w:b w:val="0"/>
          <w:color w:val="000000"/>
          <w:sz w:val="21"/>
        </w:rPr>
        <w:t>实验环境：PostgreSQL 15、DBeaver、Python 3.11 与 psycopg。</w:t>
      </w:r>
    </w:p>
    <w:p>
      <w:pPr>
        <w:pStyle w:val="Heading1"/>
        <w:keepNext/>
        <w:spacing w:before="280" w:after="120" w:line="276" w:lineRule="auto"/>
      </w:pPr>
      <w:r>
        <w:rPr>
          <w:rFonts w:ascii="黑体" w:hAnsi="黑体" w:eastAsia="黑体"/>
          <w:b/>
          <w:color w:val="000000"/>
          <w:sz w:val="28"/>
        </w:rPr>
        <w:t>七、修订说明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5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上版问题</w:t>
            </w:r>
          </w:p>
        </w:tc>
        <w:tc>
          <w:tcPr>
            <w:tcW w:type="dxa" w:w="32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本版处理</w:t>
            </w:r>
          </w:p>
        </w:tc>
        <w:tc>
          <w:tcPr>
            <w:tcW w:type="dxa" w:w="2891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</w:r>
            <w:r>
              <w:rPr>
                <w:rFonts w:ascii="宋体" w:hAnsi="宋体" w:eastAsia="宋体"/>
                <w:b/>
                <w:color w:val="FFFFFF"/>
                <w:sz w:val="18"/>
              </w:rPr>
              <w:t>核验依据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总学时 72 与单元合计 64 不一致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将总学时统一为 64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教学内容表合计与学时核对式</w:t>
            </w:r>
          </w:p>
        </w:tc>
      </w:tr>
      <w:tr>
        <w:tc>
          <w:tcPr>
            <w:tcW w:type="dxa" w:w="345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过程性考核只有 30%，比例合计 90%</w:t>
            </w:r>
          </w:p>
        </w:tc>
        <w:tc>
          <w:tcPr>
            <w:tcW w:type="dxa" w:w="3288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增加 20% 综合项目，比例调整为 50% + 50%</w:t>
            </w:r>
          </w:p>
        </w:tc>
        <w:tc>
          <w:tcPr>
            <w:tcW w:type="dxa" w:w="2891"/>
            <w:shd w:fill="EAF1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考核方式表合计 100%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目标 D4 缺少团队协作考核</w:t>
            </w:r>
          </w:p>
        </w:tc>
        <w:tc>
          <w:tcPr>
            <w:tcW w:type="dxa" w:w="32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增加项目汇报、分工记录和同伴评价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  <w:r>
              <w:rPr>
                <w:rFonts w:ascii="宋体" w:hAnsi="宋体" w:eastAsia="宋体"/>
                <w:b w:val="0"/>
                <w:color w:val="000000"/>
                <w:sz w:val="18"/>
              </w:rPr>
              <w:t>综合项目评价依据</w:t>
            </w:r>
          </w:p>
        </w:tc>
      </w:tr>
    </w:tbl>
    <w:sectPr w:rsidR="00FC693F" w:rsidRPr="0006063C" w:rsidSect="00034616">
      <w:pgSz w:w="11906" w:h="16838"/>
      <w:pgMar w:top="1247" w:right="1417" w:bottom="1191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