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00" w:line="276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2025-2026学年第二学期</w:t>
      </w:r>
      <w:r>
        <w:br/>
      </w:r>
      <w:r>
        <w:rPr>
          <w:rFonts w:ascii="黑体" w:hAnsi="黑体" w:eastAsia="黑体"/>
          <w:b/>
          <w:color w:val="000000"/>
          <w:sz w:val="40"/>
        </w:rPr>
        <w:t>数据库原理及应用课程考核分析报告</w:t>
      </w:r>
    </w:p>
    <w:p>
      <w:pPr>
        <w:spacing w:before="0" w:after="260" w:line="288" w:lineRule="auto"/>
        <w:jc w:val="center"/>
      </w:pPr>
      <w:r>
        <w:rPr>
          <w:rFonts w:ascii="宋体" w:hAnsi="宋体" w:eastAsia="宋体"/>
          <w:b w:val="0"/>
          <w:color w:val="505050"/>
          <w:sz w:val="19"/>
        </w:rPr>
        <w:t>课程代码 DSB201｜授课对象 2024 级｜报告状态 已归档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学生总数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120 人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课程学分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 学分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总评及格率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95.0%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总评平均分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78.6 分</w:t>
            </w:r>
          </w:p>
        </w:tc>
      </w:tr>
    </w:tbl>
    <w:p/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本学期课程按课堂参与 10%、基础实验 20%、综合项目 20% 和期末闭卷考试 50% 评定成绩。课程目标 D4 通过项目汇报和同伴评价取得证据。本报告用于分析目标达成情况并改进下一轮教学。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一、成绩分布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分数段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累计占比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90-100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15.0%</w:t>
            </w:r>
          </w:p>
        </w:tc>
      </w:tr>
      <w:tr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80-89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30.0%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45.0%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70-79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33.3%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78.3%</w:t>
            </w:r>
          </w:p>
        </w:tc>
      </w:tr>
      <w:tr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60-69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95.0%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60 以下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5.0%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二、课程目标达成情况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支撑指标点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达成度</w:t>
            </w:r>
          </w:p>
        </w:tc>
        <w:tc>
          <w:tcPr>
            <w:tcW w:type="dxa" w:w="4649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主要依据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期末考试概念题、SQL 基础实验</w:t>
            </w:r>
          </w:p>
        </w:tc>
      </w:tr>
      <w:tr>
        <w:tc>
          <w:tcPr>
            <w:tcW w:type="dxa" w:w="113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</w:t>
            </w:r>
          </w:p>
        </w:tc>
        <w:tc>
          <w:tcPr>
            <w:tcW w:type="dxa" w:w="4649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数据库设计项目、期末考试设计题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0.76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索引与查询优化实验</w:t>
            </w:r>
          </w:p>
        </w:tc>
      </w:tr>
      <w:tr>
        <w:tc>
          <w:tcPr>
            <w:tcW w:type="dxa" w:w="113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D4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0.81</w:t>
            </w:r>
          </w:p>
        </w:tc>
        <w:tc>
          <w:tcPr>
            <w:tcW w:type="dxa" w:w="4649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项目成果、现场汇报、同伴评价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三、主要问题与改进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查询优化实验的达成度最低。</w:t>
      </w:r>
      <w:r>
        <w:rPr>
          <w:rFonts w:ascii="宋体" w:hAnsi="宋体" w:eastAsia="宋体"/>
          <w:b w:val="0"/>
          <w:color w:val="000000"/>
          <w:sz w:val="21"/>
        </w:rPr>
        <w:t>学生在解释执行计划时，能够识别全表扫描，但对索引选择与代价估算的分析不充分。下一轮将增加执行计划对比实验，并要求学生在报告中说明索引变化对查询代价的影响。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团队项目总体完成情况良好</w:t>
      </w:r>
      <w:r>
        <w:rPr>
          <w:rFonts w:ascii="宋体" w:hAnsi="宋体" w:eastAsia="宋体"/>
          <w:b w:val="0"/>
          <w:color w:val="000000"/>
          <w:sz w:val="21"/>
        </w:rPr>
        <w:t>，但少数小组的分工记录晚于开发过程。后续将把分工记录纳入第一次阶段检查，确保过程证据及时留存。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四、材料归档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成绩单、试卷分析表、项目评分表和同伴评价表已归档。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课程目标达成度计算表随报告一并保存。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下一轮教学大纲修订应继续保留过程性考核 50%、终结性考核 50% 的结构。</w:t>
      </w:r>
    </w:p>
    <w:sectPr w:rsidR="00FC693F" w:rsidRPr="0006063C" w:rsidSect="00034616">
      <w:pgSz w:w="11906" w:h="16838"/>
      <w:pgMar w:top="1247" w:right="1417" w:bottom="1191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