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转型的社会吸收能力：如何让技术进步真正惠及所有人</w:t>
      </w:r>
    </w:p>
    <w:p>
      <w:pPr>
        <w:pStyle w:val="Subtitle"/>
      </w:pPr>
      <w:r>
        <w:t>关于自动化、分配、基本生活与社会稳定的构想</w:t>
      </w:r>
    </w:p>
    <w:p>
      <w:pPr/>
      <w:r>
        <w:t>这不是在讨论一个遥远的、所有工作一夜之间消失的终局。Agent 和机器人正在以不均匀的方式进入现实经济：一部分任务和岗位先受到冲击，收益先集中到少数公司和资产所有者，制度调整却远慢于技术部署。长期自动化可能带来更丰富的物质条件和更少的强制劳动，但过渡过程本身决定了多少人能够真正分享到这些好处。</w:t>
      </w:r>
    </w:p>
    <w:tbl>
      <w:tblPr>
        <w:tblW w:type="auto" w:w="0"/>
        <w:jc w:val="center"/>
        <w:tblLayout w:type="fixed"/>
        <w:tblLook w:firstColumn="1" w:firstRow="1" w:lastColumn="0" w:lastRow="0" w:noHBand="0" w:noVBand="1" w:val="04A0"/>
        <w:tblBorders>
          <w:top w:val="single" w:sz="2" w:space="0" w:color="15324B"/>
          <w:left w:val="single" w:sz="2" w:space="0" w:color="15324B"/>
          <w:bottom w:val="single" w:sz="2" w:space="0" w:color="15324B"/>
          <w:right w:val="single" w:sz="2" w:space="0" w:color="15324B"/>
          <w:insideH w:val="single" w:sz="2" w:space="0" w:color="15324B"/>
          <w:insideV w:val="single" w:sz="2" w:space="0" w:color="15324B"/>
        </w:tblBorders>
      </w:tblPr>
      <w:tblGrid>
        <w:gridCol w:w="9878"/>
      </w:tblGrid>
      <w:tr>
        <w:trPr>
          <w:cantSplit/>
        </w:trPr>
        <w:tc>
          <w:tcPr>
            <w:tcW w:type="dxa" w:w="9878"/>
            <w:shd w:fill="15324B" w:val="clear"/>
            <w:vAlign w:val="center"/>
            <w:tcMar>
              <w:top w:w="180" w:type="dxa"/>
              <w:start w:w="220" w:type="dxa"/>
              <w:bottom w:w="180" w:type="dxa"/>
              <w:end w:w="220" w:type="dxa"/>
            </w:tcMar>
          </w:tcPr>
          <w:p>
            <w:pPr>
              <w:spacing w:after="0" w:before="0" w:line="259" w:lineRule="auto"/>
              <w:jc w:val="left"/>
            </w:pPr>
            <w:r>
              <w:rPr>
                <w:rFonts w:ascii="Noto Sans" w:hAnsi="Noto Sans" w:eastAsia="Noto Sans CJK SC"/>
                <w:b/>
                <w:i w:val="0"/>
                <w:color w:val="FFFFFF"/>
                <w:sz w:val="22"/>
              </w:rPr>
              <w:t>核心主张：AI 的社会问题不只是最终创造多少财富，而是技术能力增长与社会吸收能力之间的速度差。要让进步持续，必须让基本生活、收益分配、制度响应和社会参与机制与自动化同步演进。</w:t>
            </w:r>
          </w:p>
        </w:tc>
      </w:tr>
    </w:tbl>
    <w:p>
      <w:pPr>
        <w:spacing w:after="0" w:before="0"/>
      </w:pPr>
    </w:p>
    <w:p>
      <w:pPr>
        <w:pStyle w:val="Heading1"/>
        <w:keepNext/>
      </w:pPr>
      <w:r>
        <w:t>这不是一个遥远的终局问题</w:t>
      </w:r>
    </w:p>
    <w:p>
      <w:pPr/>
      <w:r>
        <w:t>从长期看，一个高度自动化的社会可能是积极的：大量商品和服务由 AI 与机器人生产，人们不再必须依靠传统工作维持生活，也能把更多时间用于家庭、学习、创造、研究和公共生活。这种图景值得期待。</w:t>
      </w:r>
    </w:p>
    <w:p>
      <w:pPr/>
      <w:r>
        <w:t>但技术不会在同一天、以同样方式替代所有工作。更可能发生的是，一部分任务先被自动化，一些初级岗位减少，一些职业的工资和议价能力下降，某些企业和地区先获得生产率红利，而另一些家庭先失去收入。对宏观经济而言，这也许只是一个调整过程；对具体的人而言，它可能意味着失业、住房压力、家庭关系恶化和多年积累的职业身份被突然打断。</w:t>
      </w:r>
    </w:p>
    <w:p>
      <w:pPr/>
      <w:r>
        <w:t>Coding 和 research Agent 的影响也不会局限于软件行业。现代工程依赖代码、仿真、优化、数据分析和实验控制；即使最终目标发生在物理世界，Agent 也可以通过开发更可靠的机器人、感知、规划与控制算法，间接扩大自动化的范围。因此，这一转型可能逐步辐射制造、物流、能源、生物、材料、医疗、金融、教育以及更多服务行业。</w:t>
      </w:r>
    </w:p>
    <w:tbl>
      <w:tblPr>
        <w:tblW w:type="auto" w:w="0"/>
        <w:jc w:val="center"/>
        <w:tblLayout w:type="fixed"/>
        <w:tblLook w:firstColumn="1" w:firstRow="1" w:lastColumn="0" w:lastRow="0" w:noHBand="0" w:noVBand="1" w:val="04A0"/>
        <w:tblBorders>
          <w:top w:val="single" w:sz="2" w:space="0" w:color="EAF2F8"/>
          <w:left w:val="single" w:sz="2" w:space="0" w:color="EAF2F8"/>
          <w:bottom w:val="single" w:sz="2" w:space="0" w:color="EAF2F8"/>
          <w:right w:val="single" w:sz="2" w:space="0" w:color="EAF2F8"/>
          <w:insideH w:val="single" w:sz="2" w:space="0" w:color="EAF2F8"/>
          <w:insideV w:val="single" w:sz="2" w:space="0" w:color="EAF2F8"/>
        </w:tblBorders>
      </w:tblPr>
      <w:tblGrid>
        <w:gridCol w:w="9878"/>
      </w:tblGrid>
      <w:tr>
        <w:trPr>
          <w:cantSplit/>
        </w:trPr>
        <w:tc>
          <w:tcPr>
            <w:tcW w:type="dxa" w:w="9878"/>
            <w:shd w:fill="EAF2F8" w:val="clear"/>
            <w:vAlign w:val="center"/>
            <w:tcMar>
              <w:top w:w="180" w:type="dxa"/>
              <w:start w:w="220" w:type="dxa"/>
              <w:bottom w:w="180" w:type="dxa"/>
              <w:end w:w="220" w:type="dxa"/>
            </w:tcMar>
          </w:tcPr>
          <w:p>
            <w:pPr>
              <w:spacing w:after="0" w:before="0" w:line="259" w:lineRule="auto"/>
              <w:jc w:val="left"/>
            </w:pPr>
            <w:r>
              <w:rPr>
                <w:rFonts w:ascii="Noto Sans" w:hAnsi="Noto Sans" w:eastAsia="Noto Sans CJK SC"/>
                <w:b w:val="0"/>
                <w:i w:val="0"/>
                <w:color w:val="15324B"/>
                <w:sz w:val="22"/>
              </w:rPr>
              <w:t>一个好的长期终局，并不能自动保证一条好的过渡路径。过渡中的损失是真实结果，而不是可以被未来总福利抵消的临时噪声。</w:t>
            </w:r>
          </w:p>
        </w:tc>
      </w:tr>
    </w:tbl>
    <w:p>
      <w:pPr>
        <w:spacing w:after="0" w:before="0"/>
      </w:pPr>
    </w:p>
    <w:p>
      <w:pPr>
        <w:pStyle w:val="Heading1"/>
        <w:keepNext/>
      </w:pPr>
      <w:r>
        <w:t>真正的风险是速度失配</w:t>
      </w:r>
    </w:p>
    <w:p>
      <w:pPr/>
      <w:r>
        <w:t>技术、企业和社会制度运行在不同的时钟上。模型能力、Agent harness、算力和基础设施可以在数周或数月内迭代；企业可以在几个季度内重组流程和岗位；教育、社会保障、税制、住房和劳动法往往需要数年才能调整；文化上关于工作、价值、身份和尊严的观念变化则可能更慢。</w:t>
      </w:r>
    </w:p>
    <w:p>
      <w:pPr/>
      <w:r>
        <w:t>社会治理并非完全静止，但相对于技术部署速度，它显得非常缓慢。更困难的是，资金和人才正在大量流向技术侧，因为那里有更高回报、更清晰的职业路径和更快的反馈；而研究分配、保障、劳动转型和文化适应的人才与机构相对不足。我们越成功地加速技术，越可能同时扩大技术能力与社会吸收能力之间的缺口。</w:t>
      </w:r>
    </w:p>
    <w:p>
      <w:pPr/>
      <w:r>
        <w:t>Agent 还可能形成自我加速：Agent 开发本身很大程度上就是写代码、设计评测、分析失败和优化基础设施；更强的 Agent 可以反过来帮助改进下一代 Agent。社会制度没有同样的迭代回路。这意味着转型治理不能只在问题积累到足够严重后再启动，而需要提前建立更快的观察、试验和响应机制。</w:t>
      </w:r>
    </w:p>
    <w:tbl>
      <w:tblPr>
        <w:tblW w:type="auto" w:w="0"/>
        <w:jc w:val="center"/>
        <w:tblLayout w:type="fixed"/>
        <w:tblLook w:firstColumn="1" w:firstRow="1" w:lastColumn="0" w:lastRow="0" w:noHBand="0" w:noVBand="1" w:val="04A0"/>
        <w:tblBorders>
          <w:top w:val="single" w:sz="4" w:space="0" w:color="D7E1EA"/>
          <w:left w:val="single" w:sz="4" w:space="0" w:color="D7E1EA"/>
          <w:bottom w:val="single" w:sz="4" w:space="0" w:color="D7E1EA"/>
          <w:right w:val="single" w:sz="4" w:space="0" w:color="D7E1EA"/>
          <w:insideH w:val="single" w:sz="4" w:space="0" w:color="D7E1EA"/>
          <w:insideV w:val="single" w:sz="4" w:space="0" w:color="D7E1EA"/>
        </w:tblBorders>
      </w:tblPr>
      <w:tblGrid>
        <w:gridCol w:w="1656"/>
        <w:gridCol w:w="3816"/>
        <w:gridCol w:w="4406"/>
      </w:tblGrid>
      <w:tr>
        <w:trPr>
          <w:cantSplit/>
        </w:trPr>
        <w:tc>
          <w:tcPr>
            <w:tcW w:type="dxa" w:w="3293"/>
            <w:shd w:fill="15324B"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i w:val="0"/>
                <w:color w:val="FFFFFF"/>
                <w:sz w:val="18"/>
              </w:rPr>
              <w:t>系统时钟</w:t>
            </w:r>
          </w:p>
        </w:tc>
        <w:tc>
          <w:tcPr>
            <w:tcW w:type="dxa" w:w="3293"/>
            <w:shd w:fill="15324B"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i w:val="0"/>
                <w:color w:val="FFFFFF"/>
                <w:sz w:val="18"/>
              </w:rPr>
              <w:t>正在变化的对象</w:t>
            </w:r>
          </w:p>
        </w:tc>
        <w:tc>
          <w:tcPr>
            <w:tcW w:type="dxa" w:w="3293"/>
            <w:shd w:fill="15324B"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i w:val="0"/>
                <w:color w:val="FFFFFF"/>
                <w:sz w:val="18"/>
              </w:rPr>
              <w:t>典型特征</w:t>
            </w:r>
          </w:p>
        </w:tc>
      </w:tr>
      <w:tr>
        <w:trPr>
          <w:cantSplit/>
        </w:trPr>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i w:val="0"/>
                <w:color w:val="15324B"/>
                <w:sz w:val="18"/>
              </w:rPr>
              <w:t>技术</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模型、harness、算力与基础设施</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迭代快，可复制，并可能形成正反馈</w:t>
            </w:r>
          </w:p>
        </w:tc>
      </w:tr>
      <w:tr>
        <w:trPr>
          <w:cantSplit/>
        </w:trPr>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i w:val="0"/>
                <w:color w:val="15324B"/>
                <w:sz w:val="18"/>
              </w:rPr>
              <w:t>企业</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流程、组织结构、招聘与岗位</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可以较快部署，但收益和成本分布不均</w:t>
            </w:r>
          </w:p>
        </w:tc>
      </w:tr>
      <w:tr>
        <w:trPr>
          <w:cantSplit/>
        </w:trPr>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i w:val="0"/>
                <w:color w:val="15324B"/>
                <w:sz w:val="18"/>
              </w:rPr>
              <w:t>公共制度</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保障、税制、教育、劳动规则</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需要预算、立法、协调和执行能力</w:t>
            </w:r>
          </w:p>
        </w:tc>
      </w:tr>
      <w:tr>
        <w:trPr>
          <w:cantSplit/>
        </w:trPr>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i w:val="0"/>
                <w:color w:val="15324B"/>
                <w:sz w:val="18"/>
              </w:rPr>
              <w:t>文化与身份</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工作意义、地位、尊严与参与</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变化最慢，也最难通过单一政策解决</w:t>
            </w:r>
          </w:p>
        </w:tc>
      </w:tr>
    </w:tbl>
    <w:p>
      <w:pPr>
        <w:spacing w:after="0"/>
      </w:pPr>
    </w:p>
    <w:p>
      <w:pPr>
        <w:pStyle w:val="Heading1"/>
        <w:keepNext/>
      </w:pPr>
      <w:r>
        <w:t>收益和损失的分布是不对称的</w:t>
      </w:r>
    </w:p>
    <w:p>
      <w:pPr/>
      <w:r>
        <w:t>AI 的收益通常以长期、总体和平均值出现：更高的生产率、更低的成本、更好的医疗或教育服务。损失却往往是即时、局部和个人化的。一个人无法用未来 GDP 的增长支付下个月的房租，一个地区也不能用全社会的平均繁荣抵消本地产业衰退。</w:t>
      </w:r>
    </w:p>
    <w:p>
      <w:pPr/>
      <w:r>
        <w:t>收益还容易集中在掌握模型、算力、数据、平台和资本的人手中；转型成本则可能由失业者、家庭、社区和公共财政承担。企业内部化自动化的收益，社会外部化失业、再培训、心理压力和地区衰退的成本，这种结构如果长期存在，会迅速削弱技术进步的社会合法性。</w:t>
      </w:r>
    </w:p>
    <w:p>
      <w:pPr/>
      <w:r>
        <w:t>“愿意拥抱 AI 的人获益，不愿意的人被淘汰”也不是一个充分的解释。一个人能否学习和迁移，取决于年龄、健康、教育、照护责任、所在地区、时间、资本和原有技能。AI 带来的生产力是一种社会性成果，不应该变成一场只按个人学习速度分配基本生活权利的考试。</w:t>
      </w:r>
    </w:p>
    <w:p>
      <w:pPr/>
      <w:r>
        <w:t>工作也不只提供工资。它还提供身份、关系、时间结构、尊严、社会认可和参与感。因此，即使收入保障得到解决，社会仍需要回答：没有传统工作之后，人怎样获得成就和地位，年轻人怎样形成能力，照护、创作、学习和公共服务如何获得承认。</w:t>
      </w:r>
    </w:p>
    <w:tbl>
      <w:tblPr>
        <w:tblW w:type="auto" w:w="0"/>
        <w:jc w:val="center"/>
        <w:tblLayout w:type="fixed"/>
        <w:tblLook w:firstColumn="1" w:firstRow="1" w:lastColumn="0" w:lastRow="0" w:noHBand="0" w:noVBand="1" w:val="04A0"/>
        <w:tblBorders>
          <w:top w:val="single" w:sz="4" w:space="0" w:color="D7E1EA"/>
          <w:left w:val="single" w:sz="4" w:space="0" w:color="D7E1EA"/>
          <w:bottom w:val="single" w:sz="4" w:space="0" w:color="D7E1EA"/>
          <w:right w:val="single" w:sz="4" w:space="0" w:color="D7E1EA"/>
          <w:insideH w:val="single" w:sz="4" w:space="0" w:color="D7E1EA"/>
          <w:insideV w:val="single" w:sz="4" w:space="0" w:color="D7E1EA"/>
        </w:tblBorders>
      </w:tblPr>
      <w:tblGrid>
        <w:gridCol w:w="1512"/>
        <w:gridCol w:w="4176"/>
        <w:gridCol w:w="4190"/>
      </w:tblGrid>
      <w:tr>
        <w:trPr>
          <w:cantSplit/>
        </w:trPr>
        <w:tc>
          <w:tcPr>
            <w:tcW w:type="dxa" w:w="3293"/>
            <w:shd w:fill="15324B"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i w:val="0"/>
                <w:color w:val="FFFFFF"/>
                <w:sz w:val="18"/>
              </w:rPr>
              <w:t>维度</w:t>
            </w:r>
          </w:p>
        </w:tc>
        <w:tc>
          <w:tcPr>
            <w:tcW w:type="dxa" w:w="3293"/>
            <w:shd w:fill="15324B"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i w:val="0"/>
                <w:color w:val="FFFFFF"/>
                <w:sz w:val="18"/>
              </w:rPr>
              <w:t>收益更常呈现为</w:t>
            </w:r>
          </w:p>
        </w:tc>
        <w:tc>
          <w:tcPr>
            <w:tcW w:type="dxa" w:w="3293"/>
            <w:shd w:fill="15324B"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i w:val="0"/>
                <w:color w:val="FFFFFF"/>
                <w:sz w:val="18"/>
              </w:rPr>
              <w:t>损失更常呈现为</w:t>
            </w:r>
          </w:p>
        </w:tc>
      </w:tr>
      <w:tr>
        <w:trPr>
          <w:cantSplit/>
        </w:trPr>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i w:val="0"/>
                <w:color w:val="15324B"/>
                <w:sz w:val="18"/>
              </w:rPr>
              <w:t>时间</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长期累积的生产率与成本下降</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立即失去收入、岗位和安全感</w:t>
            </w:r>
          </w:p>
        </w:tc>
      </w:tr>
      <w:tr>
        <w:trPr>
          <w:cantSplit/>
        </w:trPr>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i w:val="0"/>
                <w:color w:val="15324B"/>
                <w:sz w:val="18"/>
              </w:rPr>
              <w:t>空间</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全国或全球的平均增长</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特定行业、城市和家庭的集中冲击</w:t>
            </w:r>
          </w:p>
        </w:tc>
      </w:tr>
      <w:tr>
        <w:trPr>
          <w:cantSplit/>
        </w:trPr>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i w:val="0"/>
                <w:color w:val="15324B"/>
                <w:sz w:val="18"/>
              </w:rPr>
              <w:t>所有权</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资本和平台价值上升</w:t>
            </w:r>
          </w:p>
        </w:tc>
        <w:tc>
          <w:tcPr>
            <w:tcW w:type="dxa" w:w="3293"/>
            <w:shd w:fill="F7FAFC"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劳动收入与议价能力下降</w:t>
            </w:r>
          </w:p>
        </w:tc>
      </w:tr>
      <w:tr>
        <w:trPr>
          <w:cantSplit/>
        </w:trPr>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i w:val="0"/>
                <w:color w:val="15324B"/>
                <w:sz w:val="18"/>
              </w:rPr>
              <w:t>可见性</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抽象的宏观数字</w:t>
            </w:r>
          </w:p>
        </w:tc>
        <w:tc>
          <w:tcPr>
            <w:tcW w:type="dxa" w:w="3293"/>
            <w:shd w:fill="FFFFFF" w:val="clear"/>
            <w:vAlign w:val="center"/>
            <w:tcMar>
              <w:top w:w="120" w:type="dxa"/>
              <w:start w:w="150" w:type="dxa"/>
              <w:bottom w:w="120" w:type="dxa"/>
              <w:end w:w="150" w:type="dxa"/>
            </w:tcMar>
          </w:tcPr>
          <w:p>
            <w:pPr>
              <w:spacing w:after="0" w:before="0" w:line="259" w:lineRule="auto"/>
              <w:jc w:val="left"/>
            </w:pPr>
            <w:r>
              <w:rPr>
                <w:rFonts w:ascii="Noto Sans" w:hAnsi="Noto Sans" w:eastAsia="Noto Sans CJK SC"/>
                <w:b w:val="0"/>
                <w:i w:val="0"/>
                <w:color w:val="20262E"/>
                <w:sz w:val="18"/>
              </w:rPr>
              <w:t>具体的人生中断和家庭困难</w:t>
            </w:r>
          </w:p>
        </w:tc>
      </w:tr>
    </w:tbl>
    <w:p>
      <w:pPr>
        <w:spacing w:after="0"/>
      </w:pPr>
    </w:p>
    <w:p>
      <w:pPr>
        <w:pStyle w:val="Heading1"/>
        <w:keepNext/>
      </w:pPr>
      <w:r>
        <w:t>目标不是在“无限加速”和“强制暂停”之间二选一</w:t>
      </w:r>
    </w:p>
    <w:p>
      <w:pPr/>
      <w:r>
        <w:t>一种失败是，技术快速推进，但大多数人看不到可见收益，只看到工作不稳定、财富集中和公共服务没有改善。社会反弹最终可能迫使技术被粗暴限制。另一种失败是，以“进步不可阻挡”为理由忽视转型成本，在保障不足时强行推进，造成更深的社会冲突和政治极化。</w:t>
      </w:r>
    </w:p>
    <w:p>
      <w:pPr/>
      <w:r>
        <w:t>这两种结果都不利于包括技术从业者在内的绝大多数人。社会保障、收益分享和劳动转型并不是技术发展的对立面；它们更像是让技术能够持续发展的社会基础设施。只有当公众能够稳定、可见地分享到生产率红利，进一步自动化才具有持久的正当性。</w:t>
      </w:r>
    </w:p>
    <w:tbl>
      <w:tblPr>
        <w:tblW w:type="auto" w:w="0"/>
        <w:jc w:val="center"/>
        <w:tblLayout w:type="fixed"/>
        <w:tblLook w:firstColumn="1" w:firstRow="1" w:lastColumn="0" w:lastRow="0" w:noHBand="0" w:noVBand="1" w:val="04A0"/>
        <w:tblBorders>
          <w:top w:val="single" w:sz="2" w:space="0" w:color="15324B"/>
          <w:left w:val="single" w:sz="2" w:space="0" w:color="15324B"/>
          <w:bottom w:val="single" w:sz="2" w:space="0" w:color="15324B"/>
          <w:right w:val="single" w:sz="2" w:space="0" w:color="15324B"/>
          <w:insideH w:val="single" w:sz="2" w:space="0" w:color="15324B"/>
          <w:insideV w:val="single" w:sz="2" w:space="0" w:color="15324B"/>
        </w:tblBorders>
      </w:tblPr>
      <w:tblGrid>
        <w:gridCol w:w="9878"/>
      </w:tblGrid>
      <w:tr>
        <w:trPr>
          <w:cantSplit/>
        </w:trPr>
        <w:tc>
          <w:tcPr>
            <w:tcW w:type="dxa" w:w="9878"/>
            <w:shd w:fill="15324B" w:val="clear"/>
            <w:vAlign w:val="center"/>
            <w:tcMar>
              <w:top w:w="180" w:type="dxa"/>
              <w:start w:w="220" w:type="dxa"/>
              <w:bottom w:w="180" w:type="dxa"/>
              <w:end w:w="220" w:type="dxa"/>
            </w:tcMar>
          </w:tcPr>
          <w:p>
            <w:pPr>
              <w:spacing w:after="0" w:before="0" w:line="259" w:lineRule="auto"/>
              <w:jc w:val="left"/>
            </w:pPr>
            <w:r>
              <w:rPr>
                <w:rFonts w:ascii="Noto Sans" w:hAnsi="Noto Sans" w:eastAsia="Noto Sans CJK SC"/>
                <w:b/>
                <w:i w:val="0"/>
                <w:color w:val="FFFFFF"/>
                <w:sz w:val="22"/>
              </w:rPr>
              <w:t>真正需要加速的不只有 AI 能力，还包括社会吸收技术变化的能力。技术进步与社会稳定不是零和关系，广泛分享收益反而是持续进步的前提。</w:t>
            </w:r>
          </w:p>
        </w:tc>
      </w:tr>
    </w:tbl>
    <w:p>
      <w:pPr>
        <w:spacing w:after="0" w:before="0"/>
      </w:pPr>
    </w:p>
    <w:p>
      <w:pPr>
        <w:pStyle w:val="Heading1"/>
      </w:pPr>
      <w:r>
        <w:t>社会失配也会反过来阻碍技术本身</w:t>
      </w:r>
    </w:p>
    <w:p>
      <w:pPr/>
      <w:r>
        <w:t>当一个行业里的 AI 首先表现为岗位减少、收入下降，而收益又与从业者无关时，最了解这个行业的人自然可能站到技术的对立面。这并不一定来自对 AI 的误解，而可能只是现实利益被直接损害。</w:t>
      </w:r>
    </w:p>
    <w:p>
      <w:pPr/>
      <w:r>
        <w:t>但行业 AI 的进步恰恰离不开这些专业人士。他们掌握隐性知识、真实数据、边界案例、评测标准和应用场景，也最清楚一个系统在现实中为什么会失败。如果专业群体不愿意参与，技术可能在实验室指标上继续前进，却在数据、评测、信任和落地上遭遇越来越大的阻力。</w:t>
      </w:r>
    </w:p>
    <w:p>
      <w:pPr/>
      <w:r>
        <w:t>如果一个方向的 AI 发展能让对应行业的从业者、转岗者和失业者直接分享收益，关系就可能从“技术替代人”转向“人参与建设并分享技术成果”。更多专家愿意帮助提供数据、设计评测和改进应用，技术因此更快成熟，新增价值又能继续回流给受影响的人。</w:t>
      </w:r>
    </w:p>
    <w:p>
      <w:pPr/>
      <w:r>
        <w:t>因此，缩小技术能力与社会吸收能力之间的缺口，不只是出于对个人生活和社会稳定的考虑。即使只从技术发展的角度出发，技术从业者也有理由关注并推动相关制度变化：一个持续把专业群体推向对立面的技术，很难在各个行业形成长期、健康的扩散。</w:t>
      </w:r>
    </w:p>
    <w:p>
      <w:pPr/>
    </w:p>
    <w:p>
      <w:pPr>
        <w:pStyle w:val="Heading1"/>
        <w:keepNext/>
      </w:pPr>
      <w:r>
        <w:t>把“社会吸收能力”当作一个需要建设的系统</w:t>
      </w:r>
    </w:p>
    <w:p>
      <w:pPr/>
      <w:r>
        <w:t>我把这种能力称为“社会吸收能力”：社会能否在技术快速推进时，让受影响的人继续拥有基本安全，让新增生产力不只集中在少数主体手中，并让行业知识和社会合作继续流向技术发展。它不等于某一项政策，而是一组需要随技术变化不断调整的制度条件。</w:t>
      </w:r>
    </w:p>
    <w:tbl>
      <w:tblPr>
        <w:tblW w:type="auto" w:w="0"/>
        <w:jc w:val="center"/>
        <w:tblLayout w:type="fixed"/>
        <w:tblLook w:firstColumn="1" w:firstRow="1" w:lastColumn="0" w:lastRow="0" w:noHBand="0" w:noVBand="1" w:val="04A0"/>
        <w:tblBorders>
          <w:top w:val="single" w:sz="4" w:space="0" w:color="D7E1EA"/>
          <w:left w:val="single" w:sz="4" w:space="0" w:color="D7E1EA"/>
          <w:bottom w:val="single" w:sz="4" w:space="0" w:color="D7E1EA"/>
          <w:right w:val="single" w:sz="4" w:space="0" w:color="D7E1EA"/>
          <w:insideH w:val="single" w:sz="4" w:space="0" w:color="D7E1EA"/>
          <w:insideV w:val="single" w:sz="4" w:space="0" w:color="D7E1EA"/>
        </w:tblBorders>
      </w:tblPr>
      <w:tblGrid>
        <w:gridCol w:w="691"/>
        <w:gridCol w:w="9187"/>
      </w:tblGrid>
      <w:tr>
        <w:trPr>
          <w:cantSplit/>
        </w:trPr>
        <w:tc>
          <w:tcPr>
            <w:tcW w:type="dxa" w:w="4939"/>
            <w:shd w:fill="1F4E79" w:val="clear"/>
            <w:vAlign w:val="center"/>
            <w:tcMar>
              <w:top w:w="120" w:type="dxa"/>
              <w:start w:w="150" w:type="dxa"/>
              <w:bottom w:w="120" w:type="dxa"/>
              <w:end w:w="150" w:type="dxa"/>
            </w:tcMar>
          </w:tcPr>
          <w:p>
            <w:pPr>
              <w:spacing w:after="0" w:before="0" w:line="259" w:lineRule="auto"/>
              <w:jc w:val="center"/>
            </w:pPr>
            <w:r>
              <w:rPr>
                <w:b/>
                <w:color w:val="FFFFFF"/>
                <w:sz w:val="20"/>
              </w:rPr>
              <w:t>1</w:t>
            </w:r>
          </w:p>
        </w:tc>
        <w:tc>
          <w:tcPr>
            <w:tcW w:type="dxa" w:w="4939"/>
            <w:shd w:fill="F7FAFC" w:val="clear"/>
            <w:vAlign w:val="center"/>
            <w:tcMar>
              <w:top w:w="120" w:type="dxa"/>
              <w:start w:w="150" w:type="dxa"/>
              <w:bottom w:w="120" w:type="dxa"/>
              <w:end w:w="150" w:type="dxa"/>
            </w:tcMar>
          </w:tcPr>
          <w:p>
            <w:pPr>
              <w:spacing w:after="0" w:before="0" w:line="259" w:lineRule="auto"/>
              <w:jc w:val="left"/>
            </w:pPr>
            <w:r>
              <w:rPr>
                <w:b w:val="0"/>
                <w:color w:val="20262E"/>
                <w:sz w:val="19"/>
              </w:rPr>
              <w:t>基本生活。 让一个人的生存不再完全取决于他是否恰好拥有市场当前需要的工作。</w:t>
            </w:r>
          </w:p>
        </w:tc>
      </w:tr>
      <w:tr>
        <w:trPr>
          <w:cantSplit/>
        </w:trPr>
        <w:tc>
          <w:tcPr>
            <w:tcW w:type="dxa" w:w="4939"/>
            <w:shd w:fill="1F4E79" w:val="clear"/>
            <w:vAlign w:val="center"/>
            <w:tcMar>
              <w:top w:w="120" w:type="dxa"/>
              <w:start w:w="150" w:type="dxa"/>
              <w:bottom w:w="120" w:type="dxa"/>
              <w:end w:w="150" w:type="dxa"/>
            </w:tcMar>
          </w:tcPr>
          <w:p>
            <w:pPr>
              <w:spacing w:after="0" w:before="0" w:line="259" w:lineRule="auto"/>
              <w:jc w:val="center"/>
            </w:pPr>
            <w:r>
              <w:rPr>
                <w:b/>
                <w:color w:val="FFFFFF"/>
                <w:sz w:val="20"/>
              </w:rPr>
              <w:t>2</w:t>
            </w:r>
          </w:p>
        </w:tc>
        <w:tc>
          <w:tcPr>
            <w:tcW w:type="dxa" w:w="4939"/>
            <w:shd w:fill="FFFFFF" w:val="clear"/>
            <w:vAlign w:val="center"/>
            <w:tcMar>
              <w:top w:w="120" w:type="dxa"/>
              <w:start w:w="150" w:type="dxa"/>
              <w:bottom w:w="120" w:type="dxa"/>
              <w:end w:w="150" w:type="dxa"/>
            </w:tcMar>
          </w:tcPr>
          <w:p>
            <w:pPr>
              <w:spacing w:after="0" w:before="0" w:line="259" w:lineRule="auto"/>
              <w:jc w:val="left"/>
            </w:pPr>
            <w:r>
              <w:rPr>
                <w:b w:val="0"/>
                <w:color w:val="20262E"/>
                <w:sz w:val="19"/>
              </w:rPr>
              <w:t>收益回流。 让 AI 与自动化创造的一部分收益直接回到承担失业、转岗和收入下降成本的人群与地区。</w:t>
            </w:r>
          </w:p>
        </w:tc>
      </w:tr>
      <w:tr>
        <w:trPr>
          <w:cantSplit/>
        </w:trPr>
        <w:tc>
          <w:tcPr>
            <w:tcW w:type="dxa" w:w="4939"/>
            <w:shd w:fill="1F4E79" w:val="clear"/>
            <w:vAlign w:val="center"/>
            <w:tcMar>
              <w:top w:w="120" w:type="dxa"/>
              <w:start w:w="150" w:type="dxa"/>
              <w:bottom w:w="120" w:type="dxa"/>
              <w:end w:w="150" w:type="dxa"/>
            </w:tcMar>
          </w:tcPr>
          <w:p>
            <w:pPr>
              <w:spacing w:after="0" w:before="0" w:line="259" w:lineRule="auto"/>
              <w:jc w:val="center"/>
            </w:pPr>
            <w:r>
              <w:rPr>
                <w:b/>
                <w:color w:val="FFFFFF"/>
                <w:sz w:val="20"/>
              </w:rPr>
              <w:t>3</w:t>
            </w:r>
          </w:p>
        </w:tc>
        <w:tc>
          <w:tcPr>
            <w:tcW w:type="dxa" w:w="4939"/>
            <w:shd w:fill="F7FAFC" w:val="clear"/>
            <w:vAlign w:val="center"/>
            <w:tcMar>
              <w:top w:w="120" w:type="dxa"/>
              <w:start w:w="150" w:type="dxa"/>
              <w:bottom w:w="120" w:type="dxa"/>
              <w:end w:w="150" w:type="dxa"/>
            </w:tcMar>
          </w:tcPr>
          <w:p>
            <w:pPr>
              <w:spacing w:after="0" w:before="0" w:line="259" w:lineRule="auto"/>
              <w:jc w:val="left"/>
            </w:pPr>
            <w:r>
              <w:rPr>
                <w:b w:val="0"/>
                <w:color w:val="20262E"/>
                <w:sz w:val="19"/>
              </w:rPr>
              <w:t>动态调整。 不同技术对不同行业的影响不同，制度也应根据真实冲击持续变化，而不是依赖一次性、固定不变的规则。</w:t>
            </w:r>
          </w:p>
        </w:tc>
      </w:tr>
      <w:tr>
        <w:trPr>
          <w:cantSplit/>
        </w:trPr>
        <w:tc>
          <w:tcPr>
            <w:tcW w:type="dxa" w:w="4939"/>
            <w:shd w:fill="1F4E79" w:val="clear"/>
            <w:vAlign w:val="center"/>
            <w:tcMar>
              <w:top w:w="120" w:type="dxa"/>
              <w:start w:w="150" w:type="dxa"/>
              <w:bottom w:w="120" w:type="dxa"/>
              <w:end w:w="150" w:type="dxa"/>
            </w:tcMar>
          </w:tcPr>
          <w:p>
            <w:pPr>
              <w:spacing w:after="0" w:before="0" w:line="259" w:lineRule="auto"/>
              <w:jc w:val="center"/>
            </w:pPr>
            <w:r>
              <w:rPr>
                <w:b/>
                <w:color w:val="FFFFFF"/>
                <w:sz w:val="20"/>
              </w:rPr>
              <w:t>4</w:t>
            </w:r>
          </w:p>
        </w:tc>
        <w:tc>
          <w:tcPr>
            <w:tcW w:type="dxa" w:w="4939"/>
            <w:shd w:fill="FFFFFF" w:val="clear"/>
            <w:vAlign w:val="center"/>
            <w:tcMar>
              <w:top w:w="120" w:type="dxa"/>
              <w:start w:w="150" w:type="dxa"/>
              <w:bottom w:w="120" w:type="dxa"/>
              <w:end w:w="150" w:type="dxa"/>
            </w:tcMar>
          </w:tcPr>
          <w:p>
            <w:pPr>
              <w:spacing w:after="0" w:before="0" w:line="259" w:lineRule="auto"/>
              <w:jc w:val="left"/>
            </w:pPr>
            <w:r>
              <w:rPr>
                <w:b w:val="0"/>
                <w:color w:val="20262E"/>
                <w:sz w:val="19"/>
              </w:rPr>
              <w:t>共同建设。 让专业人士成为行业 AI 的参与者和受益者，使数据、评测、应用与收益形成正向循环。</w:t>
            </w:r>
          </w:p>
        </w:tc>
      </w:tr>
    </w:tbl>
    <w:p>
      <w:pPr>
        <w:spacing w:after="0"/>
      </w:pPr>
    </w:p>
    <w:p>
      <w:pPr>
        <w:pStyle w:val="Heading1"/>
        <w:keepNext/>
      </w:pPr>
      <w:r>
        <w:t>一些仍然粗略的转型方向</w:t>
      </w:r>
    </w:p>
    <w:p>
      <w:pPr>
        <w:pStyle w:val="Heading2"/>
        <w:keepNext/>
      </w:pPr>
      <w:r>
        <w:t>把基本生存与市场岗位部分脱钩</w:t>
      </w:r>
    </w:p>
    <w:p>
      <w:pPr/>
      <w:r>
        <w:t>我认为最基础的方向，是让住房、医疗、教育和日常生活不再完全绑定于一个人是否拥有当前市场需要的工作。这里并不意味着取消工作或立即进入某种终局制度，而是让技术替代发生时，个人和家庭不会立刻失去生活的基础。</w:t>
      </w:r>
    </w:p>
    <w:p>
      <w:pPr>
        <w:pStyle w:val="Heading2"/>
        <w:keepNext/>
      </w:pPr>
      <w:r>
        <w:t>让自动化收益回到受影响的人</w:t>
      </w:r>
    </w:p>
    <w:p>
      <w:pPr/>
      <w:r>
        <w:t>对 Agent 征税、设置自动化分红，或者建立其他收益分享机制，都是这一原则的可能表达。我还没有想清楚哪一种制度更合理，但如果采用类似机制，它应当优先支持因相关技术而失去岗位、收入或职业路径的人，而不是只成为与冲击无关的一般收入来源。它也应当是动态的：不同技术、行业和地区受到的影响不同，分担和补贴的强度应随实际变化调整。</w:t>
      </w:r>
    </w:p>
    <w:p>
      <w:pPr>
        <w:pStyle w:val="Heading2"/>
        <w:keepNext/>
      </w:pPr>
      <w:r>
        <w:t>让行业专业人士成为共同受益者</w:t>
      </w:r>
    </w:p>
    <w:p>
      <w:pPr/>
      <w:r>
        <w:t>一个行业的 AI 若想持续进步，最好不要让最懂这个行业的人只看到自己被替代。无论最终采取何种形式，技术创造的收益都应与提供知识、数据、评测、应用经验，以及承担转型成本的人建立更直接的联系。这样才能把抵触关系转化为共同建设。</w:t>
      </w:r>
    </w:p>
    <w:p>
      <w:pPr>
        <w:pStyle w:val="Heading2"/>
        <w:keepNext/>
      </w:pPr>
      <w:r>
        <w:t>让制度也能跟着技术变化</w:t>
      </w:r>
    </w:p>
    <w:p>
      <w:pPr/>
      <w:r>
        <w:t>Agent 能力、部署方式和受影响的职业都在快速变化，因此很难靠一套静态规则一次性解决问题。更现实的方向，也许是让制度能够持续观察影响、调整边界和修正分配方式，而不是等到矛盾积累后再做一次大修。</w:t>
      </w:r>
    </w:p>
    <w:p>
      <w:pPr>
        <w:pStyle w:val="Heading1"/>
        <w:keepNext/>
      </w:pPr>
      <w:r>
        <w:t>我还没有想明白的部分</w:t>
      </w:r>
    </w:p>
    <w:p>
      <w:pPr/>
      <w:r>
        <w:t>这些只是一些很粗略的方向，不是一套完整方案。我并不知道 Agent 税应该怎样定义，怎样准确判断一份工作受到多少 AI 影响，怎样避免制度被规避或反过来阻碍真正有价值的创新，也不知道不同国家和行业是否可能使用同一套框架。</w:t>
      </w:r>
    </w:p>
    <w:p>
      <w:pPr/>
      <w:r>
        <w:t>更深的问题同样没有答案：当工作不再是主要收入来源后，人如何获得身份、尊严和社会参与；技术收益应以什么形式、在多大范围内共享；怎样在快速变化中维持社会信任。这些问题需要经济学、社会学、法律、公共治理和技术共同探索，我现在只有方向性的直觉。</w:t>
      </w:r>
    </w:p>
    <w:p>
      <w:pPr>
        <w:pStyle w:val="Heading1"/>
        <w:keepNext/>
      </w:pPr>
      <w:r>
        <w:t>这套构想指向什么</w:t>
      </w:r>
    </w:p>
    <w:p>
      <w:pPr/>
      <w:r>
        <w:t>我希望推动的不是减慢技术，也不是假设市场会自动解决过渡问题，而是让技术进步与社会吸收能力形成同一个正反馈：技术创造更多生产力，受影响的人能够分享成果，专业群体愿意继续参与，数据、评测和应用因而变得更好，技术也能更快、更稳定地进入更多行业。</w:t>
      </w:r>
    </w:p>
    <w:p>
      <w:pPr>
        <w:keepLines/>
      </w:pPr>
      <w:r>
        <w:t>最终目标不是承诺每一个岗位都保持不变，也不是要求所有人以同样速度适应 AI。目标是让人们不必用生活被摧毁来为技术进步付费，同时避免因为分配失衡和社会反弹而阻断技术本身的发展。</w:t>
      </w:r>
    </w:p>
    <w:tbl>
      <w:tblPr>
        <w:tblW w:type="auto" w:w="0"/>
        <w:jc w:val="center"/>
        <w:tblLayout w:type="fixed"/>
        <w:tblLook w:firstColumn="1" w:firstRow="1" w:lastColumn="0" w:lastRow="0" w:noHBand="0" w:noVBand="1" w:val="04A0"/>
        <w:tblBorders>
          <w:top w:val="single" w:sz="2" w:space="0" w:color="15324B"/>
          <w:left w:val="single" w:sz="2" w:space="0" w:color="15324B"/>
          <w:bottom w:val="single" w:sz="2" w:space="0" w:color="15324B"/>
          <w:right w:val="single" w:sz="2" w:space="0" w:color="15324B"/>
          <w:insideH w:val="single" w:sz="2" w:space="0" w:color="15324B"/>
          <w:insideV w:val="single" w:sz="2" w:space="0" w:color="15324B"/>
        </w:tblBorders>
      </w:tblPr>
      <w:tblGrid>
        <w:gridCol w:w="9878"/>
      </w:tblGrid>
      <w:tr>
        <w:trPr>
          <w:cantSplit/>
        </w:trPr>
        <w:tc>
          <w:tcPr>
            <w:tcW w:type="dxa" w:w="9878"/>
            <w:shd w:fill="15324B" w:val="clear"/>
            <w:vAlign w:val="center"/>
            <w:tcMar>
              <w:top w:w="180" w:type="dxa"/>
              <w:start w:w="220" w:type="dxa"/>
              <w:bottom w:w="180" w:type="dxa"/>
              <w:end w:w="220" w:type="dxa"/>
            </w:tcMar>
          </w:tcPr>
          <w:p>
            <w:pPr>
              <w:spacing w:after="0" w:before="0" w:line="259" w:lineRule="auto"/>
              <w:jc w:val="left"/>
            </w:pPr>
            <w:r>
              <w:rPr>
                <w:b/>
                <w:color w:val="FFFFFF"/>
                <w:sz w:val="22"/>
              </w:rPr>
              <w:t>健康的 AI 转型，不只是让技术越来越强，也要让受影响的人能够分享收益，并愿意继续参与技术的建设。</w:t>
            </w:r>
          </w:p>
        </w:tc>
      </w:tr>
    </w:tbl>
    <w:p>
      <w:pPr>
        <w:spacing w:after="0" w:before="0"/>
      </w:pPr>
    </w:p>
    <w:sectPr w:rsidR="00FC693F" w:rsidRPr="0006063C" w:rsidSect="00034616">
      <w:headerReference w:type="default" r:id="rId9"/>
      <w:footerReference w:type="default" r:id="rId10"/>
      <w:pgSz w:w="12240" w:h="15840"/>
      <w:pgMar w:top="1037" w:right="1181" w:bottom="950" w:left="1181"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Noto Sans" w:hAnsi="Noto Sans"/>
        <w:color w:val="5F6B7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5" w:space="4" w:color="D7E6F2"/>
      </w:pBdr>
    </w:pPr>
    <w:r>
      <w:rPr>
        <w:rFonts w:ascii="Noto Sans" w:hAnsi="Noto Sans" w:eastAsia="Noto Sans CJK SC"/>
        <w:b/>
        <w:i w:val="0"/>
        <w:color w:val="5F6B76"/>
        <w:sz w:val="17"/>
      </w:rPr>
      <w:t>AI 转型与社会吸收能力</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307" w:lineRule="auto"/>
    </w:pPr>
    <w:rPr>
      <w:rFonts w:ascii="Noto Serif" w:hAnsi="Noto Serif" w:eastAsia="Noto Serif CJK SC"/>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Noto Sans" w:hAnsi="Noto Sans" w:eastAsia="Noto Sans CJK SC"/>
      <w:b/>
      <w:bCs/>
      <w:color w:val="15324B"/>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Noto Sans" w:hAnsi="Noto Sans" w:eastAsia="Noto Sans CJK S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52" w:lineRule="auto"/>
      <w:contextualSpacing/>
    </w:pPr>
    <w:rPr>
      <w:rFonts w:asciiTheme="majorHAnsi" w:eastAsiaTheme="majorEastAsia" w:hAnsiTheme="majorHAnsi" w:cstheme="majorBidi" w:ascii="Noto Sans" w:hAnsi="Noto Sans" w:eastAsia="Noto Sans CJK SC"/>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ascii="Noto Sans" w:hAnsi="Noto Sans" w:eastAsia="Noto Sans CJK SC"/>
      <w:i/>
      <w:iCs/>
      <w:color w:val="5F6B7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40" w:after="180"/>
      <w:ind w:left="504" w:right="360"/>
    </w:pPr>
    <w:rPr>
      <w:rFonts w:ascii="Noto Serif" w:hAnsi="Noto Serif" w:eastAsia="Noto Serif CJK SC"/>
      <w:i/>
      <w:iCs/>
      <w:color w:val="15324B"/>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转型的社会吸收能力：如何让技术进步真正惠及所有人</dc:title>
  <dc:subject>自动化、分配、基本生活与社会稳定</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