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Social Absorption Capacity of the AI Transition</w:t>
      </w:r>
    </w:p>
    <w:p>
      <w:pPr>
        <w:pStyle w:val="Subtitle"/>
      </w:pPr>
      <w:r>
        <w:t>How technological progress can improve life for everyone, not only its earliest winners</w:t>
      </w:r>
    </w:p>
    <w:p>
      <w:pPr/>
      <w:r>
        <w:t>This is not a discussion about a distant day when every job disappears at once. Agents and robots are entering the economy unevenly: some tasks and roles are affected first, gains initially accrue to a small set of firms and asset owners, and institutions adapt much more slowly than technology is deployed. In the long run, automation may produce greater abundance and reduce compulsory work. The transition itself will determine how many people actually experience that outcome as progress.</w:t>
      </w:r>
    </w:p>
    <w:tbl>
      <w:tblPr>
        <w:tblW w:type="auto" w:w="0"/>
        <w:jc w:val="center"/>
        <w:tblLayout w:type="fixed"/>
        <w:tblLook w:firstColumn="1" w:firstRow="1" w:lastColumn="0" w:lastRow="0" w:noHBand="0" w:noVBand="1" w:val="04A0"/>
        <w:tblBorders>
          <w:top w:val="single" w:sz="2" w:space="0" w:color="15324B"/>
          <w:left w:val="single" w:sz="2" w:space="0" w:color="15324B"/>
          <w:bottom w:val="single" w:sz="2" w:space="0" w:color="15324B"/>
          <w:right w:val="single" w:sz="2" w:space="0" w:color="15324B"/>
          <w:insideH w:val="single" w:sz="2" w:space="0" w:color="15324B"/>
          <w:insideV w:val="single" w:sz="2" w:space="0" w:color="15324B"/>
        </w:tblBorders>
      </w:tblPr>
      <w:tblGrid>
        <w:gridCol w:w="9878"/>
      </w:tblGrid>
      <w:tr>
        <w:trPr>
          <w:cantSplit/>
        </w:trPr>
        <w:tc>
          <w:tcPr>
            <w:tcW w:type="dxa" w:w="9878"/>
            <w:shd w:fill="15324B" w:val="clear"/>
            <w:vAlign w:val="center"/>
            <w:tcMar>
              <w:top w:w="180" w:type="dxa"/>
              <w:start w:w="220" w:type="dxa"/>
              <w:bottom w:w="180" w:type="dxa"/>
              <w:end w:w="220" w:type="dxa"/>
            </w:tcMar>
          </w:tcPr>
          <w:p>
            <w:pPr>
              <w:spacing w:after="0" w:before="0" w:line="259" w:lineRule="auto"/>
              <w:jc w:val="left"/>
            </w:pPr>
            <w:r>
              <w:rPr>
                <w:rFonts w:ascii="Noto Sans" w:hAnsi="Noto Sans"/>
                <w:b/>
                <w:i w:val="0"/>
                <w:color w:val="FFFFFF"/>
                <w:sz w:val="21"/>
              </w:rPr>
              <w:t>Core thesis: the social challenge of AI is not only how much wealth it eventually creates. It is the widening speed gap between technical capability and society's capacity to absorb change. Basic security, distribution, institutional response, and social participation need to evolve alongside automation.</w:t>
            </w:r>
          </w:p>
        </w:tc>
      </w:tr>
    </w:tbl>
    <w:p>
      <w:pPr>
        <w:spacing w:after="0" w:before="0"/>
      </w:pPr>
    </w:p>
    <w:p>
      <w:pPr>
        <w:pStyle w:val="Heading1"/>
        <w:keepNext/>
      </w:pPr>
      <w:r>
        <w:t>This is not only a distant end-state problem</w:t>
      </w:r>
    </w:p>
    <w:p>
      <w:pPr/>
      <w:r>
        <w:t>A highly automated society could be deeply positive. AI and robots could produce a large share of goods and services, people might no longer need conventional employment to secure a decent life, and more time could become available for family, learning, creation, research, and public life. That is a future worth wanting.</w:t>
      </w:r>
    </w:p>
    <w:p>
      <w:pPr/>
      <w:r>
        <w:t>But technology will not replace every kind of work on the same day or in the same way. A more plausible path is uneven: some tasks are automated first, entry routes shrink, wages and bargaining power weaken in selected occupations, and a few firms and regions capture the first productivity gains while other households lose income. At the macro level this may be described as adjustment. At the human level it can mean unemployment, housing stress, family disruption, and the sudden loss of a professional identity built over decades.</w:t>
      </w:r>
    </w:p>
    <w:p>
      <w:pPr/>
      <w:r>
        <w:t>The reach of coding and research agents also extends beyond software. Modern engineering depends on code, simulation, optimization, data analysis, and experimental control. Even when the final objective is physical, agents can develop more reliable robotics, perception, planning, and control systems, indirectly expanding what can be automated. The transition can therefore spread through manufacturing, logistics, energy, biology, materials, medicine, finance, education, and many service sectors.</w:t>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878"/>
      </w:tblGrid>
      <w:tr>
        <w:trPr>
          <w:cantSplit/>
        </w:trPr>
        <w:tc>
          <w:tcPr>
            <w:tcW w:type="dxa" w:w="9878"/>
            <w:shd w:fill="EAF2F8" w:val="clear"/>
            <w:vAlign w:val="center"/>
            <w:tcMar>
              <w:top w:w="180" w:type="dxa"/>
              <w:start w:w="220" w:type="dxa"/>
              <w:bottom w:w="180" w:type="dxa"/>
              <w:end w:w="220" w:type="dxa"/>
            </w:tcMar>
          </w:tcPr>
          <w:p>
            <w:pPr>
              <w:spacing w:after="0" w:before="0" w:line="259" w:lineRule="auto"/>
              <w:jc w:val="left"/>
            </w:pPr>
            <w:r>
              <w:rPr>
                <w:rFonts w:ascii="Noto Sans" w:hAnsi="Noto Sans"/>
                <w:b w:val="0"/>
                <w:i w:val="0"/>
                <w:color w:val="15324B"/>
                <w:sz w:val="21"/>
              </w:rPr>
              <w:t>A desirable long-run destination does not guarantee a humane path to it. Losses during the transition are real outcomes, not temporary noise that can be erased by future aggregate welfare.</w:t>
            </w:r>
          </w:p>
        </w:tc>
      </w:tr>
    </w:tbl>
    <w:p>
      <w:pPr>
        <w:spacing w:after="0" w:before="0"/>
      </w:pPr>
    </w:p>
    <w:p>
      <w:pPr>
        <w:pStyle w:val="Heading1"/>
        <w:keepNext/>
      </w:pPr>
      <w:r>
        <w:t>The central risk is a mismatch of speeds</w:t>
      </w:r>
    </w:p>
    <w:p>
      <w:pPr/>
      <w:r>
        <w:t>Technology, firms, and public institutions operate on different clocks. Models, agent harnesses, compute, and infrastructure can improve over weeks or months. Companies can reorganize workflows and hiring over a few quarters. Education, social insurance, taxation, housing, and labor law often take years to change. Cultural ideas about work, status, dignity, and purpose may move more slowly still.</w:t>
      </w:r>
    </w:p>
    <w:p>
      <w:pPr/>
      <w:r>
        <w:t>Governance is not literally static, but it is slow relative to deployment. The imbalance is reinforced by where talent and capital go: technical work offers higher pay, clearer career paths, and faster feedback, while the institutions studying distribution, labor transition, and cultural adaptation remain comparatively under-resourced. The better we become at accelerating the technology, the larger the gap can become between technical capability and social absorption capacity.</w:t>
      </w:r>
    </w:p>
    <w:p>
      <w:pPr/>
      <w:r>
        <w:t>Agents may also create a positive feedback loop in their own development. Agent engineering is largely software development, evaluation design, failure analysis, and infrastructure optimization; stronger agents can help improve the next generation of agents. Social institutions do not possess an equally fast iteration loop. Transition governance therefore cannot begin only after harm becomes undeniable. It needs faster mechanisms for observation, experimentation, and response.</w:t>
      </w:r>
    </w:p>
    <w:tbl>
      <w:tblPr>
        <w:tblW w:type="auto" w:w="0"/>
        <w:jc w:val="center"/>
        <w:tblLayout w:type="fixed"/>
        <w:tblLook w:firstColumn="1" w:firstRow="1" w:lastColumn="0" w:lastRow="0" w:noHBand="0" w:noVBand="1" w:val="04A0"/>
        <w:tblBorders>
          <w:top w:val="single" w:sz="4" w:space="0" w:color="D7E1EA"/>
          <w:left w:val="single" w:sz="4" w:space="0" w:color="D7E1EA"/>
          <w:bottom w:val="single" w:sz="4" w:space="0" w:color="D7E1EA"/>
          <w:right w:val="single" w:sz="4" w:space="0" w:color="D7E1EA"/>
          <w:insideH w:val="single" w:sz="4" w:space="0" w:color="D7E1EA"/>
          <w:insideV w:val="single" w:sz="4" w:space="0" w:color="D7E1EA"/>
        </w:tblBorders>
      </w:tblPr>
      <w:tblGrid>
        <w:gridCol w:w="1728"/>
        <w:gridCol w:w="3816"/>
        <w:gridCol w:w="4334"/>
      </w:tblGrid>
      <w:tr>
        <w:trPr>
          <w:cantSplit/>
        </w:trPr>
        <w:tc>
          <w:tcPr>
            <w:tcW w:type="dxa" w:w="3293"/>
            <w:shd w:fill="15324B" w:val="clear"/>
            <w:vAlign w:val="center"/>
            <w:tcMar>
              <w:top w:w="120" w:type="dxa"/>
              <w:start w:w="150" w:type="dxa"/>
              <w:bottom w:w="120" w:type="dxa"/>
              <w:end w:w="150" w:type="dxa"/>
            </w:tcMar>
          </w:tcPr>
          <w:p>
            <w:pPr>
              <w:spacing w:after="0" w:before="0" w:line="259" w:lineRule="auto"/>
              <w:jc w:val="left"/>
            </w:pPr>
            <w:r>
              <w:rPr>
                <w:rFonts w:ascii="Noto Sans" w:hAnsi="Noto Sans"/>
                <w:b/>
                <w:i w:val="0"/>
                <w:color w:val="FFFFFF"/>
                <w:sz w:val="17"/>
              </w:rPr>
              <w:t>System clock</w:t>
            </w:r>
          </w:p>
        </w:tc>
        <w:tc>
          <w:tcPr>
            <w:tcW w:type="dxa" w:w="3293"/>
            <w:shd w:fill="15324B" w:val="clear"/>
            <w:vAlign w:val="center"/>
            <w:tcMar>
              <w:top w:w="120" w:type="dxa"/>
              <w:start w:w="150" w:type="dxa"/>
              <w:bottom w:w="120" w:type="dxa"/>
              <w:end w:w="150" w:type="dxa"/>
            </w:tcMar>
          </w:tcPr>
          <w:p>
            <w:pPr>
              <w:spacing w:after="0" w:before="0" w:line="259" w:lineRule="auto"/>
              <w:jc w:val="left"/>
            </w:pPr>
            <w:r>
              <w:rPr>
                <w:rFonts w:ascii="Noto Sans" w:hAnsi="Noto Sans"/>
                <w:b/>
                <w:i w:val="0"/>
                <w:color w:val="FFFFFF"/>
                <w:sz w:val="17"/>
              </w:rPr>
              <w:t>What is changing</w:t>
            </w:r>
          </w:p>
        </w:tc>
        <w:tc>
          <w:tcPr>
            <w:tcW w:type="dxa" w:w="3293"/>
            <w:shd w:fill="15324B" w:val="clear"/>
            <w:vAlign w:val="center"/>
            <w:tcMar>
              <w:top w:w="120" w:type="dxa"/>
              <w:start w:w="150" w:type="dxa"/>
              <w:bottom w:w="120" w:type="dxa"/>
              <w:end w:w="150" w:type="dxa"/>
            </w:tcMar>
          </w:tcPr>
          <w:p>
            <w:pPr>
              <w:spacing w:after="0" w:before="0" w:line="259" w:lineRule="auto"/>
              <w:jc w:val="left"/>
            </w:pPr>
            <w:r>
              <w:rPr>
                <w:rFonts w:ascii="Noto Sans" w:hAnsi="Noto Sans"/>
                <w:b/>
                <w:i w:val="0"/>
                <w:color w:val="FFFFFF"/>
                <w:sz w:val="17"/>
              </w:rPr>
              <w:t>Typical character</w:t>
            </w:r>
          </w:p>
        </w:tc>
      </w:tr>
      <w:tr>
        <w:trPr>
          <w:cantSplit/>
        </w:trPr>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b/>
                <w:i w:val="0"/>
                <w:color w:val="15324B"/>
                <w:sz w:val="17"/>
              </w:rPr>
              <w:t>Technology</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Models, harnesses, compute, and infrastructure</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Fast iteration, easy replication, and possible positive feedback</w:t>
            </w:r>
          </w:p>
        </w:tc>
      </w:tr>
      <w:tr>
        <w:trPr>
          <w:cantSplit/>
        </w:trPr>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b/>
                <w:i w:val="0"/>
                <w:color w:val="15324B"/>
                <w:sz w:val="17"/>
              </w:rPr>
              <w:t>Firms</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Workflows, organization, hiring, and roles</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Relatively fast deployment with uneven gains and costs</w:t>
            </w:r>
          </w:p>
        </w:tc>
      </w:tr>
      <w:tr>
        <w:trPr>
          <w:cantSplit/>
        </w:trPr>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b/>
                <w:i w:val="0"/>
                <w:color w:val="15324B"/>
                <w:sz w:val="17"/>
              </w:rPr>
              <w:t>Public institutions</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Benefits, taxation, education, and labor rules</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Requires budgets, legislation, coordination, and execution</w:t>
            </w:r>
          </w:p>
        </w:tc>
      </w:tr>
      <w:tr>
        <w:trPr>
          <w:cantSplit/>
        </w:trPr>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b/>
                <w:i w:val="0"/>
                <w:color w:val="15324B"/>
                <w:sz w:val="17"/>
              </w:rPr>
              <w:t>Culture and identity</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Meaning of work, status, dignity, and participation</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Slowest to change and not solvable through one policy</w:t>
            </w:r>
          </w:p>
        </w:tc>
      </w:tr>
    </w:tbl>
    <w:p>
      <w:pPr>
        <w:spacing w:after="0"/>
      </w:pPr>
    </w:p>
    <w:p>
      <w:pPr>
        <w:pStyle w:val="Heading1"/>
        <w:keepNext/>
      </w:pPr>
      <w:r>
        <w:t>The gains and losses are distributed asymmetrically</w:t>
      </w:r>
    </w:p>
    <w:p>
      <w:pPr/>
      <w:r>
        <w:t>The benefits of AI are usually expressed in long-run, aggregate terms: higher productivity, lower costs, better health care, or better education. Losses are often immediate, local, and personal. A worker cannot use future GDP growth to pay next month's rent, and a town cannot offset the decline of its local industry with an increase in national average prosperity.</w:t>
      </w:r>
    </w:p>
    <w:p>
      <w:pPr/>
      <w:r>
        <w:t>Gains also tend to concentrate among those who control models, compute, data, platforms, and capital, while transition costs fall on displaced workers, families, communities, and public budgets. Firms can internalize the return from automation while society absorbs unemployment, retraining, psychological stress, and regional decline. If that pattern persists, it will quickly weaken the legitimacy of technological progress.</w:t>
      </w:r>
    </w:p>
    <w:p>
      <w:pPr/>
      <w:r>
        <w:t>“People who embrace AI will win; people who resist it will lose” is not an adequate account of fairness. A person's ability to adapt depends on age, health, education, care responsibilities, geography, available time, capital, and the transferability of prior skills. AI productivity is a social achievement. Access to basic security should not become an examination graded by each individual's speed of adoption.</w:t>
      </w:r>
    </w:p>
    <w:p>
      <w:pPr/>
      <w:r>
        <w:t>Work provides more than income. It also provides identity, relationships, time structure, dignity, recognition, and participation. Even a successful income floor would leave major questions unresolved: how people gain achievement and status outside employment, how young people develop capabilities, and how care, study, creation, and public service receive recognition.</w:t>
      </w:r>
    </w:p>
    <w:tbl>
      <w:tblPr>
        <w:tblW w:type="auto" w:w="0"/>
        <w:jc w:val="center"/>
        <w:tblLayout w:type="fixed"/>
        <w:tblLook w:firstColumn="1" w:firstRow="1" w:lastColumn="0" w:lastRow="0" w:noHBand="0" w:noVBand="1" w:val="04A0"/>
        <w:tblBorders>
          <w:top w:val="single" w:sz="4" w:space="0" w:color="D7E1EA"/>
          <w:left w:val="single" w:sz="4" w:space="0" w:color="D7E1EA"/>
          <w:bottom w:val="single" w:sz="4" w:space="0" w:color="D7E1EA"/>
          <w:right w:val="single" w:sz="4" w:space="0" w:color="D7E1EA"/>
          <w:insideH w:val="single" w:sz="4" w:space="0" w:color="D7E1EA"/>
          <w:insideV w:val="single" w:sz="4" w:space="0" w:color="D7E1EA"/>
        </w:tblBorders>
      </w:tblPr>
      <w:tblGrid>
        <w:gridCol w:w="1512"/>
        <w:gridCol w:w="4205"/>
        <w:gridCol w:w="4162"/>
      </w:tblGrid>
      <w:tr>
        <w:trPr>
          <w:cantSplit/>
        </w:trPr>
        <w:tc>
          <w:tcPr>
            <w:tcW w:type="dxa" w:w="3293"/>
            <w:shd w:fill="15324B" w:val="clear"/>
            <w:vAlign w:val="center"/>
            <w:tcMar>
              <w:top w:w="120" w:type="dxa"/>
              <w:start w:w="150" w:type="dxa"/>
              <w:bottom w:w="120" w:type="dxa"/>
              <w:end w:w="150" w:type="dxa"/>
            </w:tcMar>
          </w:tcPr>
          <w:p>
            <w:pPr>
              <w:spacing w:after="0" w:before="0" w:line="259" w:lineRule="auto"/>
              <w:jc w:val="left"/>
            </w:pPr>
            <w:r>
              <w:rPr>
                <w:rFonts w:ascii="Noto Sans" w:hAnsi="Noto Sans"/>
                <w:b/>
                <w:i w:val="0"/>
                <w:color w:val="FFFFFF"/>
                <w:sz w:val="17"/>
              </w:rPr>
              <w:t>Dimension</w:t>
            </w:r>
          </w:p>
        </w:tc>
        <w:tc>
          <w:tcPr>
            <w:tcW w:type="dxa" w:w="3293"/>
            <w:shd w:fill="15324B" w:val="clear"/>
            <w:vAlign w:val="center"/>
            <w:tcMar>
              <w:top w:w="120" w:type="dxa"/>
              <w:start w:w="150" w:type="dxa"/>
              <w:bottom w:w="120" w:type="dxa"/>
              <w:end w:w="150" w:type="dxa"/>
            </w:tcMar>
          </w:tcPr>
          <w:p>
            <w:pPr>
              <w:spacing w:after="0" w:before="0" w:line="259" w:lineRule="auto"/>
              <w:jc w:val="left"/>
            </w:pPr>
            <w:r>
              <w:rPr>
                <w:rFonts w:ascii="Noto Sans" w:hAnsi="Noto Sans"/>
                <w:b/>
                <w:i w:val="0"/>
                <w:color w:val="FFFFFF"/>
                <w:sz w:val="17"/>
              </w:rPr>
              <w:t>Benefits tend to appear as</w:t>
            </w:r>
          </w:p>
        </w:tc>
        <w:tc>
          <w:tcPr>
            <w:tcW w:type="dxa" w:w="3293"/>
            <w:shd w:fill="15324B" w:val="clear"/>
            <w:vAlign w:val="center"/>
            <w:tcMar>
              <w:top w:w="120" w:type="dxa"/>
              <w:start w:w="150" w:type="dxa"/>
              <w:bottom w:w="120" w:type="dxa"/>
              <w:end w:w="150" w:type="dxa"/>
            </w:tcMar>
          </w:tcPr>
          <w:p>
            <w:pPr>
              <w:spacing w:after="0" w:before="0" w:line="259" w:lineRule="auto"/>
              <w:jc w:val="left"/>
            </w:pPr>
            <w:r>
              <w:rPr>
                <w:rFonts w:ascii="Noto Sans" w:hAnsi="Noto Sans"/>
                <w:b/>
                <w:i w:val="0"/>
                <w:color w:val="FFFFFF"/>
                <w:sz w:val="17"/>
              </w:rPr>
              <w:t>Losses tend to appear as</w:t>
            </w:r>
          </w:p>
        </w:tc>
      </w:tr>
      <w:tr>
        <w:trPr>
          <w:cantSplit/>
        </w:trPr>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b/>
                <w:i w:val="0"/>
                <w:color w:val="15324B"/>
                <w:sz w:val="17"/>
              </w:rPr>
              <w:t>Time</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Cumulative productivity and lower costs</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Immediate loss of income, work, and security</w:t>
            </w:r>
          </w:p>
        </w:tc>
      </w:tr>
      <w:tr>
        <w:trPr>
          <w:cantSplit/>
        </w:trPr>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b/>
                <w:i w:val="0"/>
                <w:color w:val="15324B"/>
                <w:sz w:val="17"/>
              </w:rPr>
              <w:t>Place</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National or global average growth</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Concentrated shocks to industries, towns, and families</w:t>
            </w:r>
          </w:p>
        </w:tc>
      </w:tr>
      <w:tr>
        <w:trPr>
          <w:cantSplit/>
        </w:trPr>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b/>
                <w:i w:val="0"/>
                <w:color w:val="15324B"/>
                <w:sz w:val="17"/>
              </w:rPr>
              <w:t>Ownership</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Rising platform and capital value</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Lower labor income and bargaining power</w:t>
            </w:r>
          </w:p>
        </w:tc>
      </w:tr>
      <w:tr>
        <w:trPr>
          <w:cantSplit/>
        </w:trPr>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b/>
                <w:i w:val="0"/>
                <w:color w:val="15324B"/>
                <w:sz w:val="17"/>
              </w:rPr>
              <w:t>Visibility</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Abstract macroeconomic indicators</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b w:val="0"/>
                <w:i w:val="0"/>
                <w:color w:val="20262E"/>
                <w:sz w:val="17"/>
              </w:rPr>
              <w:t>Concrete disruptions to lives and households</w:t>
            </w:r>
          </w:p>
        </w:tc>
      </w:tr>
    </w:tbl>
    <w:p>
      <w:pPr>
        <w:spacing w:after="0"/>
      </w:pPr>
    </w:p>
    <w:p>
      <w:pPr>
        <w:pStyle w:val="Heading1"/>
        <w:keepNext/>
      </w:pPr>
      <w:r>
        <w:t>The choice is not unlimited acceleration or a forced stop</w:t>
      </w:r>
    </w:p>
    <w:p>
      <w:pPr/>
      <w:r>
        <w:t>One failure mode is rapid deployment in which most people see unstable work, concentrated wealth, and no visible improvement in public services. Political backlash may then produce blunt restrictions on the technology. The other failure mode is to treat disruption as irrelevant because “progress cannot be stopped,” forcing change through weak institutions and creating deeper conflict and polarization.</w:t>
      </w:r>
    </w:p>
    <w:p>
      <w:pPr/>
      <w:r>
        <w:t>Neither outcome serves most people, including those building the technology. Social insurance, shared gains, and labor transition are not enemies of technical progress. They are part of the infrastructure that allows progress to continue. Further automation will retain durable legitimacy only when the public can see and reliably receive part of the productivity dividend.</w:t>
      </w:r>
    </w:p>
    <w:tbl>
      <w:tblPr>
        <w:tblW w:type="auto" w:w="0"/>
        <w:jc w:val="center"/>
        <w:tblLayout w:type="fixed"/>
        <w:tblLook w:firstColumn="1" w:firstRow="1" w:lastColumn="0" w:lastRow="0" w:noHBand="0" w:noVBand="1" w:val="04A0"/>
        <w:tblBorders>
          <w:top w:val="single" w:sz="2" w:space="0" w:color="15324B"/>
          <w:left w:val="single" w:sz="2" w:space="0" w:color="15324B"/>
          <w:bottom w:val="single" w:sz="2" w:space="0" w:color="15324B"/>
          <w:right w:val="single" w:sz="2" w:space="0" w:color="15324B"/>
          <w:insideH w:val="single" w:sz="2" w:space="0" w:color="15324B"/>
          <w:insideV w:val="single" w:sz="2" w:space="0" w:color="15324B"/>
        </w:tblBorders>
      </w:tblPr>
      <w:tblGrid>
        <w:gridCol w:w="9878"/>
      </w:tblGrid>
      <w:tr>
        <w:trPr>
          <w:cantSplit/>
        </w:trPr>
        <w:tc>
          <w:tcPr>
            <w:tcW w:type="dxa" w:w="9878"/>
            <w:shd w:fill="15324B" w:val="clear"/>
            <w:vAlign w:val="center"/>
            <w:tcMar>
              <w:top w:w="180" w:type="dxa"/>
              <w:start w:w="220" w:type="dxa"/>
              <w:bottom w:w="180" w:type="dxa"/>
              <w:end w:w="220" w:type="dxa"/>
            </w:tcMar>
          </w:tcPr>
          <w:p>
            <w:pPr>
              <w:spacing w:after="0" w:before="0" w:line="259" w:lineRule="auto"/>
              <w:jc w:val="left"/>
            </w:pPr>
            <w:r>
              <w:rPr>
                <w:rFonts w:ascii="Noto Sans" w:hAnsi="Noto Sans"/>
                <w:b/>
                <w:i w:val="0"/>
                <w:color w:val="FFFFFF"/>
                <w:sz w:val="21"/>
              </w:rPr>
              <w:t>AI capability is not the only thing that needs to accelerate. Society also needs to become better at absorbing technological change. Progress and stability are not opposites; broad participation in the gains is a condition for sustained progress.</w:t>
            </w:r>
          </w:p>
        </w:tc>
      </w:tr>
    </w:tbl>
    <w:p>
      <w:pPr>
        <w:spacing w:after="0" w:before="0"/>
      </w:pPr>
    </w:p>
    <w:p>
      <w:pPr>
        <w:pStyle w:val="Heading1"/>
      </w:pPr>
      <w:r>
        <w:t>Social misalignment can also slow the technology itself</w:t>
      </w:r>
    </w:p>
    <w:p>
      <w:pPr/>
      <w:r>
        <w:t>When AI first appears within an industry as fewer jobs, lower incomes, and gains that bypass its workers, the people who understand that industry best may rationally become opponents of the technology. This is not necessarily a failure to understand AI. It may simply reflect a direct conflict of interests.</w:t>
      </w:r>
    </w:p>
    <w:p>
      <w:pPr/>
      <w:r>
        <w:t>Yet domain AI depends precisely on those professionals. They hold tacit knowledge, real data, edge cases, evaluation standards, and practical deployment experience. Without their participation, benchmark performance may continue to improve while progress encounters growing obstacles in data, evaluation, trust, and real-world adoption.</w:t>
      </w:r>
    </w:p>
    <w:p>
      <w:pPr/>
      <w:r>
        <w:t>If the workers, people in transition, and displaced professionals in an affected field can share directly in the gains, the relationship can shift from “technology replacing people” to “people helping build the technology and sharing its value.” Experts have more reason to contribute data, design evaluations, and improve applications; the technology matures faster, and part of the new value flows back to those carrying the transition costs.</w:t>
      </w:r>
    </w:p>
    <w:p>
      <w:pPr/>
      <w:r>
        <w:t>Closing the gap between technical capability and social absorption is therefore not only a matter of protecting individual lives or maintaining social stability. Even from a purely technical perspective, people building AI have reason to support institutional change: a technology that continually turns professional communities into adversaries will struggle to spread healthily across industries.</w:t>
      </w:r>
    </w:p>
    <w:p>
      <w:pPr/>
    </w:p>
    <w:p>
      <w:pPr>
        <w:pStyle w:val="Heading1"/>
        <w:keepNext/>
      </w:pPr>
      <w:r>
        <w:t>Social absorption capacity as a system to be built</w:t>
      </w:r>
    </w:p>
    <w:p>
      <w:pPr/>
      <w:r>
        <w:t>I use “social absorption capacity” to mean a society’s ability to preserve basic security during rapid technical change, prevent new productivity from concentrating entirely in a few hands, and keep professional knowledge and social cooperation flowing into technological development. It is not one policy. It is a set of institutional conditions that must adapt as the technology changes.</w:t>
      </w:r>
    </w:p>
    <w:tbl>
      <w:tblPr>
        <w:tblW w:type="auto" w:w="0"/>
        <w:jc w:val="center"/>
        <w:tblLayout w:type="fixed"/>
        <w:tblLook w:firstColumn="1" w:firstRow="1" w:lastColumn="0" w:lastRow="0" w:noHBand="0" w:noVBand="1" w:val="04A0"/>
        <w:tblBorders>
          <w:top w:val="single" w:sz="4" w:space="0" w:color="D7E1EA"/>
          <w:left w:val="single" w:sz="4" w:space="0" w:color="D7E1EA"/>
          <w:bottom w:val="single" w:sz="4" w:space="0" w:color="D7E1EA"/>
          <w:right w:val="single" w:sz="4" w:space="0" w:color="D7E1EA"/>
          <w:insideH w:val="single" w:sz="4" w:space="0" w:color="D7E1EA"/>
          <w:insideV w:val="single" w:sz="4" w:space="0" w:color="D7E1EA"/>
        </w:tblBorders>
      </w:tblPr>
      <w:tblGrid>
        <w:gridCol w:w="691"/>
        <w:gridCol w:w="9187"/>
      </w:tblGrid>
      <w:tr>
        <w:trPr>
          <w:cantSplit/>
        </w:trPr>
        <w:tc>
          <w:tcPr>
            <w:tcW w:type="dxa" w:w="4939"/>
            <w:shd w:fill="1F4E79" w:val="clear"/>
            <w:vAlign w:val="center"/>
            <w:tcMar>
              <w:top w:w="120" w:type="dxa"/>
              <w:start w:w="150" w:type="dxa"/>
              <w:bottom w:w="120" w:type="dxa"/>
              <w:end w:w="150" w:type="dxa"/>
            </w:tcMar>
          </w:tcPr>
          <w:p>
            <w:pPr>
              <w:spacing w:after="0" w:before="0" w:line="259" w:lineRule="auto"/>
              <w:jc w:val="center"/>
            </w:pPr>
            <w:r>
              <w:rPr>
                <w:b/>
                <w:color w:val="FFFFFF"/>
                <w:sz w:val="20"/>
              </w:rPr>
              <w:t>1</w:t>
            </w:r>
          </w:p>
        </w:tc>
        <w:tc>
          <w:tcPr>
            <w:tcW w:type="dxa" w:w="4939"/>
            <w:shd w:fill="F7FAFC" w:val="clear"/>
            <w:vAlign w:val="center"/>
            <w:tcMar>
              <w:top w:w="120" w:type="dxa"/>
              <w:start w:w="150" w:type="dxa"/>
              <w:bottom w:w="120" w:type="dxa"/>
              <w:end w:w="150" w:type="dxa"/>
            </w:tcMar>
          </w:tcPr>
          <w:p>
            <w:pPr>
              <w:spacing w:after="0" w:before="0" w:line="259" w:lineRule="auto"/>
              <w:jc w:val="left"/>
            </w:pPr>
            <w:r>
              <w:rPr>
                <w:b w:val="0"/>
                <w:color w:val="20262E"/>
                <w:sz w:val="18"/>
              </w:rPr>
              <w:t>Basic security. A person’s ability to live should not depend entirely on whether they happen to hold a job the market currently values.</w:t>
            </w:r>
          </w:p>
        </w:tc>
      </w:tr>
      <w:tr>
        <w:trPr>
          <w:cantSplit/>
        </w:trPr>
        <w:tc>
          <w:tcPr>
            <w:tcW w:type="dxa" w:w="4939"/>
            <w:shd w:fill="1F4E79" w:val="clear"/>
            <w:vAlign w:val="center"/>
            <w:tcMar>
              <w:top w:w="120" w:type="dxa"/>
              <w:start w:w="150" w:type="dxa"/>
              <w:bottom w:w="120" w:type="dxa"/>
              <w:end w:w="150" w:type="dxa"/>
            </w:tcMar>
          </w:tcPr>
          <w:p>
            <w:pPr>
              <w:spacing w:after="0" w:before="0" w:line="259" w:lineRule="auto"/>
              <w:jc w:val="center"/>
            </w:pPr>
            <w:r>
              <w:rPr>
                <w:b/>
                <w:color w:val="FFFFFF"/>
                <w:sz w:val="20"/>
              </w:rPr>
              <w:t>2</w:t>
            </w:r>
          </w:p>
        </w:tc>
        <w:tc>
          <w:tcPr>
            <w:tcW w:type="dxa" w:w="4939"/>
            <w:shd w:fill="FFFFFF" w:val="clear"/>
            <w:vAlign w:val="center"/>
            <w:tcMar>
              <w:top w:w="120" w:type="dxa"/>
              <w:start w:w="150" w:type="dxa"/>
              <w:bottom w:w="120" w:type="dxa"/>
              <w:end w:w="150" w:type="dxa"/>
            </w:tcMar>
          </w:tcPr>
          <w:p>
            <w:pPr>
              <w:spacing w:after="0" w:before="0" w:line="259" w:lineRule="auto"/>
              <w:jc w:val="left"/>
            </w:pPr>
            <w:r>
              <w:rPr>
                <w:b w:val="0"/>
                <w:color w:val="20262E"/>
                <w:sz w:val="18"/>
              </w:rPr>
              <w:t>Return of gains. Part of the value created by AI and automation should flow directly to the people and places carrying the costs of displacement, transition, and lost income.</w:t>
            </w:r>
          </w:p>
        </w:tc>
      </w:tr>
      <w:tr>
        <w:trPr>
          <w:cantSplit/>
        </w:trPr>
        <w:tc>
          <w:tcPr>
            <w:tcW w:type="dxa" w:w="4939"/>
            <w:shd w:fill="1F4E79" w:val="clear"/>
            <w:vAlign w:val="center"/>
            <w:tcMar>
              <w:top w:w="120" w:type="dxa"/>
              <w:start w:w="150" w:type="dxa"/>
              <w:bottom w:w="120" w:type="dxa"/>
              <w:end w:w="150" w:type="dxa"/>
            </w:tcMar>
          </w:tcPr>
          <w:p>
            <w:pPr>
              <w:spacing w:after="0" w:before="0" w:line="259" w:lineRule="auto"/>
              <w:jc w:val="center"/>
            </w:pPr>
            <w:r>
              <w:rPr>
                <w:b/>
                <w:color w:val="FFFFFF"/>
                <w:sz w:val="20"/>
              </w:rPr>
              <w:t>3</w:t>
            </w:r>
          </w:p>
        </w:tc>
        <w:tc>
          <w:tcPr>
            <w:tcW w:type="dxa" w:w="4939"/>
            <w:shd w:fill="F7FAFC" w:val="clear"/>
            <w:vAlign w:val="center"/>
            <w:tcMar>
              <w:top w:w="120" w:type="dxa"/>
              <w:start w:w="150" w:type="dxa"/>
              <w:bottom w:w="120" w:type="dxa"/>
              <w:end w:w="150" w:type="dxa"/>
            </w:tcMar>
          </w:tcPr>
          <w:p>
            <w:pPr>
              <w:spacing w:after="0" w:before="0" w:line="259" w:lineRule="auto"/>
              <w:jc w:val="left"/>
            </w:pPr>
            <w:r>
              <w:rPr>
                <w:b w:val="0"/>
                <w:color w:val="20262E"/>
                <w:sz w:val="18"/>
              </w:rPr>
              <w:t>Dynamic adjustment. Different technologies affect different occupations and regions, so institutions should respond to observed impact rather than rely on one permanent, fixed rule.</w:t>
            </w:r>
          </w:p>
        </w:tc>
      </w:tr>
      <w:tr>
        <w:trPr>
          <w:cantSplit/>
        </w:trPr>
        <w:tc>
          <w:tcPr>
            <w:tcW w:type="dxa" w:w="4939"/>
            <w:shd w:fill="1F4E79" w:val="clear"/>
            <w:vAlign w:val="center"/>
            <w:tcMar>
              <w:top w:w="120" w:type="dxa"/>
              <w:start w:w="150" w:type="dxa"/>
              <w:bottom w:w="120" w:type="dxa"/>
              <w:end w:w="150" w:type="dxa"/>
            </w:tcMar>
          </w:tcPr>
          <w:p>
            <w:pPr>
              <w:spacing w:after="0" w:before="0" w:line="259" w:lineRule="auto"/>
              <w:jc w:val="center"/>
            </w:pPr>
            <w:r>
              <w:rPr>
                <w:b/>
                <w:color w:val="FFFFFF"/>
                <w:sz w:val="20"/>
              </w:rPr>
              <w:t>4</w:t>
            </w:r>
          </w:p>
        </w:tc>
        <w:tc>
          <w:tcPr>
            <w:tcW w:type="dxa" w:w="4939"/>
            <w:shd w:fill="FFFFFF" w:val="clear"/>
            <w:vAlign w:val="center"/>
            <w:tcMar>
              <w:top w:w="120" w:type="dxa"/>
              <w:start w:w="150" w:type="dxa"/>
              <w:bottom w:w="120" w:type="dxa"/>
              <w:end w:w="150" w:type="dxa"/>
            </w:tcMar>
          </w:tcPr>
          <w:p>
            <w:pPr>
              <w:spacing w:after="0" w:before="0" w:line="259" w:lineRule="auto"/>
              <w:jc w:val="left"/>
            </w:pPr>
            <w:r>
              <w:rPr>
                <w:b w:val="0"/>
                <w:color w:val="20262E"/>
                <w:sz w:val="18"/>
              </w:rPr>
              <w:t>Co-development. Domain professionals should become participants in and beneficiaries of industry AI, creating a positive loop across data, evaluation, deployment, and shared gains.</w:t>
            </w:r>
          </w:p>
        </w:tc>
      </w:tr>
    </w:tbl>
    <w:p>
      <w:pPr>
        <w:spacing w:after="0"/>
      </w:pPr>
    </w:p>
    <w:p>
      <w:pPr>
        <w:pStyle w:val="Heading1"/>
        <w:keepNext/>
      </w:pPr>
      <w:r>
        <w:t>A few directions, still only loosely formed</w:t>
      </w:r>
    </w:p>
    <w:p>
      <w:pPr>
        <w:pStyle w:val="Heading2"/>
        <w:keepNext/>
      </w:pPr>
      <w:r>
        <w:t>Partially decouple basic security from market employment</w:t>
      </w:r>
    </w:p>
    <w:p>
      <w:pPr/>
      <w:r>
        <w:t>The most basic direction, in my view, is to make housing, health care, education, and everyday life less completely dependent on whether a person currently holds a market-valued job. This does not mean abolishing work or immediately adopting a final post-work system. It means that technological substitution should not cause a person or family to lose the foundations of life overnight.</w:t>
      </w:r>
    </w:p>
    <w:p>
      <w:pPr>
        <w:pStyle w:val="Heading2"/>
        <w:keepNext/>
      </w:pPr>
      <w:r>
        <w:t>Return the automation dividend to affected people</w:t>
      </w:r>
    </w:p>
    <w:p>
      <w:pPr/>
      <w:r>
        <w:t>An agent tax, an automation dividend, or some other form of gain sharing are all possible expressions of this principle. I have not worked out which institution is best. But any such mechanism should primarily benefit people whose jobs, incomes, or career paths are damaged by the relevant technology, rather than becoming a general revenue stream detached from the disruption. It should also be dynamic: the burden and support should change with the actual impact across technologies, industries, regions, and time.</w:t>
      </w:r>
    </w:p>
    <w:p>
      <w:pPr>
        <w:pStyle w:val="Heading2"/>
        <w:keepNext/>
      </w:pPr>
      <w:r>
        <w:t>Make domain professionals beneficiaries and co-builders</w:t>
      </w:r>
    </w:p>
    <w:p>
      <w:pPr/>
      <w:r>
        <w:t>If AI in a field is to keep improving, the people who understand that field best should not experience it only as their replacement. Whatever the eventual mechanism, the value created by the technology should be connected more directly to those who contribute knowledge, data, evaluations, and deployment experience, as well as those who bear the costs of transition. That is how opposition can become co-development.</w:t>
      </w:r>
    </w:p>
    <w:p>
      <w:pPr>
        <w:pStyle w:val="Heading2"/>
        <w:keepNext/>
      </w:pPr>
      <w:r>
        <w:t>Let institutions change as the technology changes</w:t>
      </w:r>
    </w:p>
    <w:p>
      <w:pPr/>
      <w:r>
        <w:t>Agent capabilities, deployment patterns, and affected occupations are changing quickly. A static rule is unlikely to resolve the transition once and for all. A more plausible direction is to build institutions that can observe impact, adjust boundaries, and revise distribution as conditions change, rather than waiting for conflict to accumulate before undertaking a major redesign.</w:t>
      </w:r>
    </w:p>
    <w:p>
      <w:pPr>
        <w:pStyle w:val="Heading1"/>
        <w:keepNext/>
      </w:pPr>
      <w:r>
        <w:t>What I have not figured out</w:t>
      </w:r>
    </w:p>
    <w:p>
      <w:pPr/>
      <w:r>
        <w:t>These are broad intuitions, not a complete program. I do not know how an agent tax should be defined, how to measure the share of a job affected by AI, how to prevent avoidance or unintended damage to genuinely valuable innovation, or whether the same framework could work across countries and industries.</w:t>
      </w:r>
    </w:p>
    <w:p>
      <w:pPr/>
      <w:r>
        <w:t>The deeper questions are equally unresolved: how people gain identity, dignity, and participation when employment is no longer the main source of income; in what form and at what level technological gains should be shared; and how social trust can be maintained during rapid change. Economics, sociology, law, public administration, and technology all have something to contribute. At this point I have only directional ideas.</w:t>
      </w:r>
    </w:p>
    <w:p>
      <w:pPr>
        <w:pStyle w:val="Heading1"/>
        <w:keepNext/>
      </w:pPr>
      <w:r>
        <w:t>What this idea is trying to achieve</w:t>
      </w:r>
    </w:p>
    <w:p>
      <w:pPr/>
      <w:r>
        <w:t>The aim is not to slow the technology, and it is not to assume that markets will automatically resolve the transition. It is to create one positive feedback loop between technical progress and social absorption: technology produces more value, affected people share in it, professional communities remain willing to participate, data, evaluation, and deployment improve, and the technology can then spread faster and more reliably across industries.</w:t>
      </w:r>
    </w:p>
    <w:p>
      <w:pPr>
        <w:keepLines/>
      </w:pPr>
      <w:r>
        <w:t>The goal is not to promise that every job will remain unchanged or to require everyone to adapt to AI at the same speed. It is to ensure that people do not have to pay for technological progress with the destruction of their lives, while also preventing unequal distribution and social backlash from obstructing the development of the technology itself.</w:t>
      </w:r>
    </w:p>
    <w:tbl>
      <w:tblPr>
        <w:tblW w:type="auto" w:w="0"/>
        <w:jc w:val="center"/>
        <w:tblLayout w:type="fixed"/>
        <w:tblLook w:firstColumn="1" w:firstRow="1" w:lastColumn="0" w:lastRow="0" w:noHBand="0" w:noVBand="1" w:val="04A0"/>
        <w:tblBorders>
          <w:top w:val="single" w:sz="2" w:space="0" w:color="15324B"/>
          <w:left w:val="single" w:sz="2" w:space="0" w:color="15324B"/>
          <w:bottom w:val="single" w:sz="2" w:space="0" w:color="15324B"/>
          <w:right w:val="single" w:sz="2" w:space="0" w:color="15324B"/>
          <w:insideH w:val="single" w:sz="2" w:space="0" w:color="15324B"/>
          <w:insideV w:val="single" w:sz="2" w:space="0" w:color="15324B"/>
        </w:tblBorders>
      </w:tblPr>
      <w:tblGrid>
        <w:gridCol w:w="9878"/>
      </w:tblGrid>
      <w:tr>
        <w:trPr>
          <w:cantSplit/>
        </w:trPr>
        <w:tc>
          <w:tcPr>
            <w:tcW w:type="dxa" w:w="9878"/>
            <w:shd w:fill="15324B" w:val="clear"/>
            <w:vAlign w:val="center"/>
            <w:tcMar>
              <w:top w:w="180" w:type="dxa"/>
              <w:start w:w="220" w:type="dxa"/>
              <w:bottom w:w="180" w:type="dxa"/>
              <w:end w:w="220" w:type="dxa"/>
            </w:tcMar>
          </w:tcPr>
          <w:p>
            <w:pPr>
              <w:spacing w:after="0" w:before="0" w:line="259" w:lineRule="auto"/>
              <w:jc w:val="left"/>
            </w:pPr>
            <w:r>
              <w:rPr>
                <w:b/>
                <w:color w:val="FFFFFF"/>
                <w:sz w:val="21"/>
              </w:rPr>
              <w:t>A healthy AI transition does not only make the technology stronger. It lets affected people share in the gains and gives them reason to keep participating in its development.</w:t>
            </w:r>
          </w:p>
        </w:tc>
      </w:tr>
    </w:tbl>
    <w:p>
      <w:pPr>
        <w:spacing w:after="0" w:before="0"/>
      </w:pPr>
    </w:p>
    <w:sectPr w:rsidR="00FC693F" w:rsidRPr="0006063C" w:rsidSect="00034616">
      <w:headerReference w:type="default" r:id="rId9"/>
      <w:footerReference w:type="default" r:id="rId10"/>
      <w:pgSz w:w="12240" w:h="15840"/>
      <w:pgMar w:top="1037" w:right="1181" w:bottom="950"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Noto Sans" w:hAnsi="Noto Sans"/>
        <w:color w:val="5F6B7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4" w:color="D7E6F2"/>
      </w:pBdr>
    </w:pPr>
    <w:r>
      <w:rPr>
        <w:rFonts w:ascii="Noto Sans" w:hAnsi="Noto Sans"/>
        <w:b/>
        <w:i w:val="0"/>
        <w:color w:val="5F6B76"/>
        <w:sz w:val="17"/>
      </w:rPr>
      <w:t>AI TRANSITION AND SOCIAL ABSORPTION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93" w:lineRule="auto"/>
    </w:pPr>
    <w:rPr>
      <w:rFonts w:ascii="Noto Serif" w:hAnsi="Noto Serif"/>
      <w:color w:val="2026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Noto Sans" w:hAnsi="Noto Sans"/>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w:hAnsi="Noto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52" w:lineRule="auto"/>
      <w:contextualSpacing/>
    </w:pPr>
    <w:rPr>
      <w:rFonts w:asciiTheme="majorHAnsi" w:eastAsiaTheme="majorEastAsia" w:hAnsiTheme="majorHAnsi" w:cstheme="majorBidi" w:ascii="Noto Sans" w:hAnsi="Noto Sans"/>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ascii="Noto Sans" w:hAnsi="Noto Sans"/>
      <w:i/>
      <w:iCs/>
      <w:color w:val="5F6B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40" w:after="180"/>
      <w:ind w:left="504" w:right="360"/>
    </w:pPr>
    <w:rPr>
      <w:rFonts w:ascii="Noto Serif" w:hAnsi="Noto Serif"/>
      <w:i/>
      <w:iCs/>
      <w:color w:val="15324B"/>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Social Absorption Capacity of the AI Transition</dc:title>
  <dc:subject>Automation, distribution, basic security, and social stability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