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80" w:line="264" w:lineRule="auto"/>
        <w:jc w:val="center"/>
      </w:pPr>
      <w:r>
        <w:t>无纸化中台 CA 新规适配产品需求文档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编写日期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文档定位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产品需求文档 PRD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需求背景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公司电子签章用章系统升级为 V3.1（新规适配），无纸化中台需在对外服务能力不变的前提下完成底层能力切换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核心原则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外部无感、业务连续、结果一致、异常可追踪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阅读对象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业务负责人、产品经理、项目经理、研发、测试、实施、运维、对接方代表</w:t>
            </w:r>
          </w:p>
        </w:tc>
      </w:tr>
    </w:tbl>
    <w:p/>
    <w:p>
      <w:pPr>
        <w:pStyle w:val="Heading1"/>
        <w:spacing w:before="120" w:after="80" w:line="264" w:lineRule="auto"/>
      </w:pPr>
      <w:r>
        <w:t>一、概述</w:t>
      </w:r>
    </w:p>
    <w:p>
      <w:pPr>
        <w:pStyle w:val="Heading2"/>
        <w:spacing w:before="60" w:after="80" w:line="264" w:lineRule="auto"/>
      </w:pPr>
      <w:r>
        <w:t>1.1 背景说明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无纸化中台当前已向多个外部业务系统提供标准化服务能力，包括企业/个人认证、电子合同创建、签署状态查询、合同文件下载、合同撤销、拒签、合同验签、印章查询等。外部接入方已经基于《无纸化标准服务能力 V1.6.5》完成对接，并在业务流程中稳定使用。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本次 CA 公司提供新的《电子签章用章系统 接口文档 V3.1（新规适配）》。新版本涉及签章、证书、印章、回调、状态等能力变化。如果直接要求外部接入方按 CA 新接口改造，会带来多方重复开发、联调周期拉长、上线风险增大等问题。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因此，本需求的产品目标不是“让外部系统接入 CA 新接口”，而是“由无纸化中台吸收 CA 新规变化，对外继续提供原有稳定服务能力”。</w:t>
      </w:r>
    </w:p>
    <w:p>
      <w:pPr>
        <w:pStyle w:val="Heading2"/>
        <w:spacing w:before="60" w:after="80" w:line="264" w:lineRule="auto"/>
      </w:pPr>
      <w:r>
        <w:t>1.2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验收口径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对外接口不变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外部业务系统继续按现有无纸化接口调用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外部接入方无需修改接口地址、请求结构、响应解析和回调处理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签章链路不断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合同创建、签署、查询、下载、验签完整闭环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使用旧接口完成一笔新 CA 底层签章业务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存量业务不受影响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已创建合同、历史文件、历史状态可继续查询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存量合同查询、下载、验签不因本次切换异常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异常可解释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 CA 新接口失败或状态不一致时，对外有明确结果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对外返回可理解的业务错误，并能在后台定位原因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可灰度上线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支持按业务、接入方或合同类型逐步切换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可控制部分业务先走新能力，验证后再扩大范围</w:t>
            </w:r>
          </w:p>
        </w:tc>
      </w:tr>
    </w:tbl>
    <w:p/>
    <w:p>
      <w:pPr>
        <w:pStyle w:val="Heading2"/>
        <w:spacing w:before="60" w:after="80" w:line="264" w:lineRule="auto"/>
      </w:pPr>
      <w:r>
        <w:t>1.3 不做什么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不做项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不要求外部接入方改造 CA 新接口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外部仍以无纸化中台为唯一对接对象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不新增一套对外 CA 风格接口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本期重点是兼容升级，不做新开放平台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不改变现有业务合同状态含义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对外仍使用原合同状态、签署状态、印章状态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不重做无纸化全部能力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电子材料、电子证照、图像审核等 CA 新文档未覆盖能力保持原逻辑</w:t>
            </w:r>
          </w:p>
        </w:tc>
      </w:tr>
    </w:tbl>
    <w:p/>
    <w:p>
      <w:pPr>
        <w:pStyle w:val="Heading1"/>
        <w:spacing w:before="120" w:after="80" w:line="264" w:lineRule="auto"/>
      </w:pPr>
      <w:r>
        <w:t>二、目标用户与角色</w:t>
      </w:r>
    </w:p>
    <w:p>
      <w:pPr>
        <w:pStyle w:val="Heading2"/>
        <w:spacing w:before="60" w:after="80" w:line="264" w:lineRule="auto"/>
      </w:pPr>
      <w:r>
        <w:t>2.1 角色说明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典型诉求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本次需求对其影响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外部接入方业务系统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希望原接口继续可用，不重新开发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理想状态下无感知，仅在异常提示和联调验证上参与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外部业务办理用户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希望合同签署流程能正常完成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签署页面、短信/链接、回调结果应保持业务连续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无纸化平台运营/实施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需要知道哪些业务已切换、哪些失败、如何补偿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需要可查询、可重推、可人工处理的后台能力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业务负责人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关注上线风险、业务连续性和合规要求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需要灰度、回退、成功率和影响范围说明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测试人员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需要明确验收场景与边界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需要以业务流程为中心验证，而不是只测接口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研发人员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需要理解产品边界和业务规则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研发细节可另写技术方案，PRD 只规定产品行为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对接人员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需要确认新规能力和回调规则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参与确认签章、证书、印章、拒签等新能力边界</w:t>
            </w:r>
          </w:p>
        </w:tc>
      </w:tr>
    </w:tbl>
    <w:p/>
    <w:p>
      <w:pPr>
        <w:pStyle w:val="Heading2"/>
        <w:spacing w:before="60" w:after="80" w:line="264" w:lineRule="auto"/>
      </w:pPr>
      <w:r>
        <w:t>2.2 用户故事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作为外部接入方，我希望继续调用原无纸化接口创建合同，以便不改造现有业务系统。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作为业务办理用户，我希望签署入口、签署状态和签署结果能正常流转，以便完成合同签署。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作为平台运营人员，我希望能看到合同在新 CA 底层的处理结果，以便处理失败、重推回调和答复业务方。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作为业务负责人，我希望本次切换可以灰度和回退，以便降低对线上业务的影响。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作为测试人员，我希望有清晰的验收清单，以便确认“对外不变”是否真正成立。</w:t>
      </w:r>
    </w:p>
    <w:p>
      <w:pPr>
        <w:pStyle w:val="Heading1"/>
        <w:spacing w:before="120" w:after="80" w:line="264" w:lineRule="auto"/>
      </w:pPr>
      <w:r>
        <w:t>三、产品范围</w:t>
      </w:r>
    </w:p>
    <w:p>
      <w:pPr>
        <w:pStyle w:val="Heading2"/>
        <w:spacing w:before="60" w:after="80" w:line="264" w:lineRule="auto"/>
      </w:pPr>
      <w:r>
        <w:t>3.1 本期范围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服务能力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外部体验要求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本期产品要求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获取访问凭证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 token 获取方式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外部无需感知 CA 应用凭证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创建电子合同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保持原创建合同接口和返回合同号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底层完成 CA 新签章流程发起，仍返回原电子合同号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查询合同/签署状态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保持原状态查询接口和状态字典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CA 签署结果转换为原合同状态和签署状态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下载合同文件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保持返回文件名和文件 Base64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底层获取 CA 已签署文件后转换为原格式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保持原验签能力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CA 验签结果转换为原验签结果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保持原撤销入口和结果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底层完成 CA 流程撤回或等效处理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保持原拒签结果表达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CA 能力确认拒签实现方式，结果仍映射为原拒签状态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保持原印章列表字段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CA 新规字段缺失做兼容处理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企业/个人认证结果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保持原认证结果表达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CA 证书/认证结果转换为原认证结果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签署结果回调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保持原回调报文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中台接收 CA 回调后再按原格式推送接入方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失败记录查询/补偿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保持可定位、可补推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新增或复用失败记录能力，支持运营处理</w:t>
            </w:r>
          </w:p>
        </w:tc>
      </w:tr>
    </w:tbl>
    <w:p/>
    <w:p>
      <w:pPr>
        <w:pStyle w:val="Heading2"/>
        <w:spacing w:before="60" w:after="80" w:line="264" w:lineRule="auto"/>
      </w:pPr>
      <w:r>
        <w:t>3.2 暂不纳入本期范围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电子材料上传/查询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新文档未覆盖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沿用原能力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电子证照上传/查询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新文档未覆盖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沿用原能力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图像审核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新文档未覆盖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沿用原能力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对外新增 CA 专属接口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非本期目标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后续如有开放平台规划另立需求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存量合同迁移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风险高且非必要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存量按原数据源查询</w:t>
            </w:r>
          </w:p>
        </w:tc>
      </w:tr>
    </w:tbl>
    <w:p/>
    <w:p>
      <w:pPr>
        <w:pStyle w:val="Heading1"/>
        <w:spacing w:before="120" w:after="80" w:line="264" w:lineRule="auto"/>
      </w:pPr>
      <w:r>
        <w:t>四、产品整体流程</w:t>
      </w:r>
    </w:p>
    <w:p>
      <w:pPr>
        <w:pStyle w:val="Heading2"/>
        <w:spacing w:before="60" w:after="80" w:line="264" w:lineRule="auto"/>
      </w:pPr>
      <w:r>
        <w:t>4.1 合同签署主流程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pStyle w:val="CodeBlock"/>
            </w:pPr>
            <w:r/>
            <w:r>
              <w:rPr>
                <w:rFonts w:ascii="Consolas" w:hAnsi="Consolas" w:eastAsia="Microsoft YaHei"/>
                <w:sz w:val="17"/>
              </w:rPr>
              <w:t>flowchart TD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A["外部业务系统按原接口创建合同"] --&gt; B["无纸化中台受理并生成对外合同号"]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B --&gt; C["中台发起底层 CA 签署流程"]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C --&gt; D["签署人进入签署页面完成认证和签署"]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D --&gt; E["CA 将签署结果通知中台"]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E --&gt; F["中台更新合同和签署人状态"]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F --&gt; G["中台按原回调格式通知外部业务系统"]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G --&gt; H["外部业务系统按原接口查询状态或下载文件"]</w:t>
            </w:r>
          </w:p>
        </w:tc>
      </w:tr>
    </w:tbl>
    <w:p/>
    <w:p>
      <w:pPr>
        <w:pStyle w:val="Heading2"/>
        <w:spacing w:before="60" w:after="80" w:line="264" w:lineRule="auto"/>
      </w:pPr>
      <w:r>
        <w:t>4.2 异常补偿流程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pStyle w:val="CodeBlock"/>
            </w:pPr>
            <w:r/>
            <w:r>
              <w:rPr>
                <w:rFonts w:ascii="Consolas" w:hAnsi="Consolas" w:eastAsia="Microsoft YaHei"/>
                <w:sz w:val="17"/>
              </w:rPr>
              <w:t>flowchart TD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A["CA 回调未到达或处理失败"] --&gt; B["中台记录异常"]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B --&gt; C["定时任务主动查询或运营手动补偿"]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C --&gt; D["获取最新签署结果"]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D --&gt; E["更新中台状态"]</w:t>
            </w:r>
          </w:p>
          <w:p>
            <w:pPr>
              <w:pStyle w:val="CodeBlock"/>
            </w:pPr>
            <w:r>
              <w:rPr>
                <w:rFonts w:ascii="Consolas" w:hAnsi="Consolas" w:eastAsia="Microsoft YaHei"/>
                <w:sz w:val="17"/>
              </w:rPr>
              <w:t xml:space="preserve">  E --&gt; F["按原格式补推接入方回调"]</w:t>
            </w:r>
          </w:p>
        </w:tc>
      </w:tr>
    </w:tbl>
    <w:p/>
    <w:p>
      <w:pPr>
        <w:pStyle w:val="Heading2"/>
        <w:spacing w:before="60" w:after="80" w:line="264" w:lineRule="auto"/>
      </w:pPr>
      <w:r>
        <w:t>4.3 外部感知边界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外部是否感知 CA 变化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产品要求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正常创建合同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不感知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仍返回原合同号和原响应结构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正常签署完成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不感知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仍按原回调格式接收签署结果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不感知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仍看到原合同状态和签署状态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下载合同文件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不感知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仍拿到原文件字段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底层异常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可感知为业务失败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不暴露 CA 内部字段，提示需可解释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灰度切换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不感知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同一接入方在灰度范围内结果一致</w:t>
            </w:r>
          </w:p>
        </w:tc>
      </w:tr>
    </w:tbl>
    <w:p/>
    <w:p>
      <w:pPr>
        <w:pStyle w:val="Heading1"/>
        <w:spacing w:before="120" w:after="80" w:line="264" w:lineRule="auto"/>
      </w:pPr>
      <w:r>
        <w:t>五、功能需求</w:t>
      </w:r>
    </w:p>
    <w:p>
      <w:pPr>
        <w:pStyle w:val="Heading2"/>
        <w:spacing w:before="60" w:after="80" w:line="264" w:lineRule="auto"/>
      </w:pPr>
      <w:r>
        <w:t>5.1 FR-01 对外接口兼容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无纸化中台对外服务能力保持不变。外部接入方无需理解 CA 新接口，也无需改造现有接口调用逻辑。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产品规则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对外接口地址不变。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对外请求参数不要求新增 CA 专属字段。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 xml:space="preserve">对外响应结构不变，仍按原 </w:t>
      </w:r>
      <w:r>
        <w:rPr>
          <w:rFonts w:ascii="Consolas" w:hAnsi="Consolas" w:eastAsia="Microsoft YaHei"/>
          <w:color w:val="C0504D"/>
          <w:sz w:val="19"/>
        </w:rPr>
        <w:t>code/msg/success/data</w:t>
      </w:r>
      <w:r>
        <w:rPr>
          <w:rFonts w:ascii="Microsoft YaHei" w:hAnsi="Microsoft YaHei" w:eastAsia="Microsoft YaHei"/>
          <w:sz w:val="21"/>
        </w:rPr>
        <w:t xml:space="preserve"> 结构返回。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对外状态字典不变，合同状态、签署状态、印章状态仍沿用原定义。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对外回调结构不变，接入方原有回调处理逻辑可继续使用。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FR-01-01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使用现有接入方请求样例调用，能正常完成鉴权和业务处理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FR-01-02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成功响应字段与旧文档一致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FR-01-03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失败响应不暴露 CA 内部字段、密钥、堆栈或无法理解的底层错误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FR-01-04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接入方无需新增 CA 账号、CA 密钥、CA 回调地址等配置</w:t>
            </w:r>
          </w:p>
        </w:tc>
      </w:tr>
    </w:tbl>
    <w:p/>
    <w:p>
      <w:pPr>
        <w:pStyle w:val="Heading2"/>
        <w:spacing w:before="60" w:after="80" w:line="264" w:lineRule="auto"/>
      </w:pPr>
      <w:r>
        <w:t>5.2 FR-02 创建电子合同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外部接入方继续按原方式提交合同信息、签署人信息、签章位置/关键字、回调地址。无纸化中台负责在底层完成 CA 新规签章流程发起。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创建成功后，对外返回原电子合同号。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同一业务流水重复提交时，不应重复创建多份有效合同。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合同文件、签署人、签章位置、签署顺序需与外部传入信息保持一致。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当底层 CA 流程创建失败时，对外返回创建失败，不返回半成品合同。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合同创建成功后，合同初始状态为“待签署”。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关键字段保持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字段/信息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对外要求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业务关联号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保持外部传入值，支持后续查询与排查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合同名称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保持外部传入值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合同类型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保持原合同类型字典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签署人信息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保持原签署人角色和身份关系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签章位置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保持关键字、页码、印章类型等业务含义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回调地址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保持外部传入的回调配置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FR-02-01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外部通过原创建合同接口可成功创建一笔新 CA 底层合同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FR-02-02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返回结果包含原电子合同号和签署过期时间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FR-02-03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签署页面展示的合同文件、签署人、签章位置与外部业务预期一致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FR-02-04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重复提交同一业务流水时，不产生重复有效签署流程</w:t>
            </w:r>
          </w:p>
        </w:tc>
      </w:tr>
    </w:tbl>
    <w:p/>
    <w:p>
      <w:pPr>
        <w:pStyle w:val="Heading2"/>
        <w:spacing w:before="60" w:after="80" w:line="264" w:lineRule="auto"/>
      </w:pPr>
      <w:r>
        <w:t>5.3 FR-03 签署过程与签署入口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业务办理用户应能通过现有短信、H5、SDK 或业务页面入口进入签署流程。底层是否使用 CA 新页面或新链接，不应改变业务用户完成签署的核心路径。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签署入口由中台统一管理，不要求外部业务系统直接拼接 CA 链接。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签署链接过期时，应能给出明确提示，并支持重新获取或重新发起。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多签署人合同需支持并行或按顺序签署，具体以原合同创建参数为准。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企业签章和个人签名需保持原业务含义。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签署完成后，用户返回业务方页面的结果需可识别成功或失败。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FR-03-01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个人签署人可完成签署并产生签署成功结果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FR-03-02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企业签章场景可选择或使用正确印章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FR-03-03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多签署人场景下，未完成、部分完成、全部完成状态准确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FR-03-04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签署链接过期或失效时，业务方可获得明确结果</w:t>
            </w:r>
          </w:p>
        </w:tc>
      </w:tr>
    </w:tbl>
    <w:p/>
    <w:p>
      <w:pPr>
        <w:pStyle w:val="Heading2"/>
        <w:spacing w:before="60" w:after="80" w:line="264" w:lineRule="auto"/>
      </w:pPr>
      <w:r>
        <w:t>5.4 FR-04 合同与签署状态查询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外部接入方继续通过原状态查询能力获取合同状态和签署人状态。中台需将 CA 新规下的签署结果转换为旧状态字典。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状态字典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状态类型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原状态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待签署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已过期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已拒绝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已注销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已签章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创建合同后，在未有人签署前返回“待签署”。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有部分签署人完成时，合同返回“签署中”。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全部签署人完成时，合同返回“已完成”。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合同撤销后返回“已撤销”。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合同超过有效期后返回“已过期”。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任一关键签署人拒签且业务规则认定合同不可继续时，返回“已拒绝”。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FR-04-01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外部查询接口返回原状态字典，不返回 CA 内部状态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FR-04-02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回调完成后，状态查询能反映最新签署结果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FR-04-03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回调未到达时，可通过补偿机制恢复状态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FR-04-04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状态流转有日志可追溯</w:t>
            </w:r>
          </w:p>
        </w:tc>
      </w:tr>
    </w:tbl>
    <w:p/>
    <w:p>
      <w:pPr>
        <w:pStyle w:val="Heading2"/>
        <w:spacing w:before="60" w:after="80" w:line="264" w:lineRule="auto"/>
      </w:pPr>
      <w:r>
        <w:t>5.5 FR-05 签署结果回调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外部接入方仍按原回调格式接收签署结果。中台作为 CA 与接入方之间的回调桥接方，负责接收 CA 结果、转换状态、推送接入方。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CA 回调先进入中台，不直接要求外部接入方接收 CA 回调。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中台确认收到 CA 回调后，更新本地合同状态。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中台按原格式推送接入方回调。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接入方回调失败时，不影响中台对 CA 回调的确认。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接入方回调失败需进入失败记录，支持自动重试和人工补推。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旧回调信息要求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信息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电子合同号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对外合同唯一标识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合同状态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原合同状态字典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签署人证件号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个人签署或企业用印人员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企业统一社会信用代码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企业签章时提供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原签署状态字典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签署时间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按原时间格式返回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FR-05-01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签署成功后，接入方收到原格式回调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FR-05-02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接入方回调失败时，可查询失败记录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FR-05-03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重复回调不会导致业务重复处理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FR-05-04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回调推送过程可查询、可重试、可补偿</w:t>
            </w:r>
          </w:p>
        </w:tc>
      </w:tr>
    </w:tbl>
    <w:p/>
    <w:p>
      <w:pPr>
        <w:pStyle w:val="Heading2"/>
        <w:spacing w:before="60" w:after="80" w:line="264" w:lineRule="auto"/>
      </w:pPr>
      <w:r>
        <w:t>5.6 FR-06 合同文件下载与验签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签署完成后，外部接入方继续按原方式下载合同文件和发起验签。中台负责从底层获取新 CA 签署文件并转换为原输出格式。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已完成合同可下载签署后的合同文件。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未完成合同如业务规则不允许下载最终文件，应返回明确提示。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 xml:space="preserve">文件下载结果保持原 </w:t>
      </w:r>
      <w:r>
        <w:rPr>
          <w:rFonts w:ascii="Consolas" w:hAnsi="Consolas" w:eastAsia="Microsoft YaHei"/>
          <w:color w:val="C0504D"/>
          <w:sz w:val="19"/>
        </w:rPr>
        <w:t>fileName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Microsoft YaHei"/>
          <w:color w:val="C0504D"/>
          <w:sz w:val="19"/>
        </w:rPr>
        <w:t>fileBase64</w:t>
      </w:r>
      <w:r>
        <w:rPr>
          <w:rFonts w:ascii="Microsoft YaHei" w:hAnsi="Microsoft YaHei" w:eastAsia="Microsoft YaHei"/>
          <w:sz w:val="21"/>
        </w:rPr>
        <w:t xml:space="preserve"> 形式。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验签结果保持原业务判断口径：有效、无效、异常。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文件下载和验签失败时，需保留可排查记录。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FR-06-01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签署完成合同可通过原接口下载 PDF 文件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FR-06-02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下载文件可正常打开，内容与签署结果一致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FR-06-03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原验签接口可返回可理解的验签结果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FR-06-04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验签失败时对外返回原错误结构</w:t>
            </w:r>
          </w:p>
        </w:tc>
      </w:tr>
    </w:tbl>
    <w:p/>
    <w:p>
      <w:pPr>
        <w:pStyle w:val="Heading2"/>
        <w:spacing w:before="60" w:after="80" w:line="264" w:lineRule="auto"/>
      </w:pPr>
      <w:r>
        <w:t>5.7 FR-07 合同撤销与拒签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外部接入方继续按原方式撤销合同或处理拒签。底层 CA 是否提供一一对应能力，不影响对外业务结果表达。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未完成合同允许撤销，已完成合同不允许撤销。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撤销成功后，合同状态为“已撤销”。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拒签成功后，合同状态为“已拒绝”，拒签人状态为“已拒签”。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如果 CA 无独立拒签接口，需在产品上明确拒签等效处理策略。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撤销/拒签原因需记录，便于业务追溯。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FR-07-01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未完成合同可撤销并返回原撤销结果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FR-07-02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已完成合同撤销失败且提示明确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FR-07-03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拒签后外部查询状态为已拒绝/已拒签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FR-07-04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撤销和拒签操作均可追溯到操作来源和时间</w:t>
            </w:r>
          </w:p>
        </w:tc>
      </w:tr>
    </w:tbl>
    <w:p/>
    <w:p>
      <w:pPr>
        <w:pStyle w:val="Heading2"/>
        <w:spacing w:before="60" w:after="80" w:line="264" w:lineRule="auto"/>
      </w:pPr>
      <w:r>
        <w:t>5.8 FR-08 印章查询与新规兼容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外部接入方继续按原方式查询企业或机构印章。CA 新规下部分字段可能为空或不可返回，中台需保证外部字段兼容。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可用印章应能正常返回给外部接入方。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印章名称、印章类型、印章图片、有效期、状态等原字段应尽量保持。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CA 新规不返回的授权信息，如外部业务依赖，需由中台本地数据补齐或明确不支持范围。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CA 新规新增的证书标识等内部字段不默认透出。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印章不可用时，应返回明确状态或不进入可用印章列表。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FR-08-01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企业可通过原接口查询可用印章列表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FR-08-02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原印章字段不因 CA 字段缺失导致外部解析失败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FR-08-03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可用、禁用、注销等状态有明确映射规则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FR-08-04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外部依赖印章授权记录时，有明确兼容方案</w:t>
            </w:r>
          </w:p>
        </w:tc>
      </w:tr>
    </w:tbl>
    <w:p/>
    <w:p>
      <w:pPr>
        <w:pStyle w:val="Heading2"/>
        <w:spacing w:before="60" w:after="80" w:line="264" w:lineRule="auto"/>
      </w:pPr>
      <w:r>
        <w:t>5.9 FR-09 运营查询与异常补偿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由于本次涉及底层能力切换，需提供运营可用的查询和补偿能力，确保业务异常可以被发现、定位和处理。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后台能力要求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合同链路查询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按外部合同号、业务流水号、接入方查询处理状态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查看每个签署人的当前状态、更新时间、失败原因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回调记录查询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 CA 回调和对外回调处理结果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失败记录重推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对外回调失败时支持重推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状态补偿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回调丢失时支持主动查询并修复状态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灰度配置查看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查看哪些接入方/业务已切换新 CA 能力</w:t>
            </w:r>
          </w:p>
        </w:tc>
      </w:tr>
    </w:tbl>
    <w:p/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FR-09-01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运营能通过合同号定位一笔业务的完整处理链路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FR-09-02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回调失败记录可查询、可重推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FR-09-03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状态不一致时可触发补偿处理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FR-09-04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补偿操作有操作日志</w:t>
            </w:r>
          </w:p>
        </w:tc>
      </w:tr>
    </w:tbl>
    <w:p/>
    <w:p>
      <w:pPr>
        <w:pStyle w:val="Heading2"/>
        <w:spacing w:before="60" w:after="80" w:line="264" w:lineRule="auto"/>
      </w:pPr>
      <w:r>
        <w:t>5.10 FR-10 灰度、回退与发布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需求说明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为降低风险，本次能力切换需支持灰度发布和回退。产品上必须明确哪些业务先切、怎么判断成功、失败后如何恢复。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业务规则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支持按接入方、业务类型、合同类型或平台来源灰度。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灰度期间，同一业务范围内的处理逻辑应保持一致，避免同一接入方结果混乱。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切换失败时，可暂停新建合同进入 CA 新流程。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已进入 CA 新流程的合同需继续完成状态同步，不应简单丢弃。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灰度扩大需基于成功率、回调成功率、投诉/异常数等指标评估。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FR-10-01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可指定一类业务先走新 CA 能力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FR-10-02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可关闭新建合同进入新 CA 能力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FR-10-03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已创建的新 CA 合同仍可查询状态和处理回调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FR-10-04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灰度效果有数据可观察</w:t>
            </w:r>
          </w:p>
        </w:tc>
      </w:tr>
    </w:tbl>
    <w:p/>
    <w:p>
      <w:pPr>
        <w:pStyle w:val="Heading1"/>
        <w:spacing w:before="120" w:after="80" w:line="264" w:lineRule="auto"/>
      </w:pPr>
      <w:r>
        <w:t>六、全局规则</w:t>
      </w:r>
    </w:p>
    <w:p>
      <w:pPr>
        <w:pStyle w:val="Heading2"/>
        <w:spacing w:before="60" w:after="80" w:line="264" w:lineRule="auto"/>
      </w:pPr>
      <w:r>
        <w:t>6.1 状态转换规则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业务事件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对外合同状态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对外签署状态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合同创建成功，尚未签署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待签署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部分签署人完成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签署中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已签章/待签章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全部签署人完成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已签章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合同被撤销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合同超过有效期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已过期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待签章或按最终业务状态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签署人拒签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已拒绝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合同被业务注销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已注销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按注销前状态保留或置为终态</w:t>
            </w:r>
          </w:p>
        </w:tc>
      </w:tr>
    </w:tbl>
    <w:p/>
    <w:p>
      <w:pPr>
        <w:pStyle w:val="Heading2"/>
        <w:spacing w:before="60" w:after="80" w:line="264" w:lineRule="auto"/>
      </w:pPr>
      <w:r>
        <w:t>6.2 异常提示规则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异常类型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对外提示原则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外部参数错误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明确指出缺少或错误的业务字段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签署链接失效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提示链接已失效，可重新发起或联系业务方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印章不可用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提示无可用印章或印章状态不可用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合同不可撤销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提示合同当前状态不允许撤销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服务不可用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提示签章服务暂不可用，建议稍后重试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回调失败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不影响用户签署结果，但进入后台失败记录</w:t>
            </w:r>
          </w:p>
        </w:tc>
      </w:tr>
    </w:tbl>
    <w:p/>
    <w:p>
      <w:pPr>
        <w:pStyle w:val="Heading2"/>
        <w:spacing w:before="60" w:after="80" w:line="264" w:lineRule="auto"/>
      </w:pPr>
      <w:r>
        <w:t>6.3 数据展示与隐私规则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身份证号、手机号、证书信息在后台列表默认脱敏。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文件 Base64、签名值、证书原文不在普通日志或页面直接展示。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对外错误提示不得泄露 CA 密钥、CA 内部接口地址、系统堆栈。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运营后台查看敏感信息需有权限控制和操作日志。</w:t>
      </w:r>
    </w:p>
    <w:p>
      <w:pPr>
        <w:pStyle w:val="Heading1"/>
        <w:spacing w:before="120" w:after="80" w:line="264" w:lineRule="auto"/>
      </w:pPr>
      <w:r>
        <w:t>七、数据与埋点需求</w:t>
      </w:r>
    </w:p>
    <w:p>
      <w:pPr>
        <w:pStyle w:val="Heading2"/>
        <w:spacing w:before="60" w:after="80" w:line="264" w:lineRule="auto"/>
      </w:pPr>
      <w:r>
        <w:t>7.1 核心业务指标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外部接入方改造数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因本次切换要求外部改造的系统数量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合同创建成功率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 CA 底层合同创建成功数 / 创建请求数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建议不低于 99%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签署完成成功率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已完成签署合同数 / 发起签署合同数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回调成功率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成功推送接入方回调数 / 应推送回调数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建议不低于 99%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状态补偿量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需人工或任务补偿的合同数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越低越好，需每日监控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文件下载成功率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下载成功次数 / 下载请求次数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</w:t>
            </w:r>
          </w:p>
        </w:tc>
      </w:tr>
    </w:tbl>
    <w:p/>
    <w:p>
      <w:pPr>
        <w:pStyle w:val="Heading2"/>
        <w:spacing w:before="60" w:after="80" w:line="264" w:lineRule="auto"/>
      </w:pPr>
      <w:r>
        <w:t>7.2 关键事件记录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触发时机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关键属性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合同创建请求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接入方发起创建合同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接入方、业务流水、合同类型、是否灰度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合同创建结果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创建成功或失败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外部合同号、失败原因、耗时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签署状态变化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签署人状态变化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合同号、签署人角色、旧状态、新状态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回调接收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收到 CA 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合同号、回调类型、处理结果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对外回调推送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推送接入方回调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接入方、推送结果、重试次数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接入方下载合同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合同号、文件数量、结果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人工补偿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运营触发补偿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操作人、补偿类型、结果</w:t>
            </w:r>
          </w:p>
        </w:tc>
      </w:tr>
    </w:tbl>
    <w:p/>
    <w:p>
      <w:pPr>
        <w:pStyle w:val="Heading1"/>
        <w:spacing w:before="120" w:after="80" w:line="264" w:lineRule="auto"/>
      </w:pPr>
      <w:r>
        <w:t>八、非功能需求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可用性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 CA 服务异常时，不影响存量合同查询和下载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性能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状态查询优先返回中台已有状态，避免每次都依赖 CA 实时查询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敏感信息脱敏展示，密钥和证书信息加密保存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创建、撤销、拒签、回调、补偿均需可追溯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原接入方请求和响应结构保持兼容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可运维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支持灰度、暂停、补偿、重推和异常查询</w:t>
            </w:r>
          </w:p>
        </w:tc>
      </w:tr>
    </w:tbl>
    <w:p/>
    <w:p>
      <w:pPr>
        <w:pStyle w:val="Heading1"/>
        <w:spacing w:before="120" w:after="80" w:line="264" w:lineRule="auto"/>
      </w:pPr>
      <w:r>
        <w:t>九、版本规划</w:t>
      </w:r>
    </w:p>
    <w:p>
      <w:pPr>
        <w:pStyle w:val="Heading2"/>
        <w:spacing w:before="60" w:after="80" w:line="264" w:lineRule="auto"/>
      </w:pPr>
      <w:r>
        <w:t>9.1 建议分期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交付范围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 联调版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跑通核心合同签署链路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创建合同、签署、回调、状态查询、文件下载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V1.1 灰度版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支持小范围业务上线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灰度配置、失败记录、回调重推、基础监控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V1.2 完整版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覆盖印章、拒签、撤销、验签等完整闭环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印章兼容、合同撤销/拒签、验签、补偿后台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V1.3 稳定版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提升运营和数据能力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指标看板、异常分析、批量补偿、告警策略</w:t>
            </w:r>
          </w:p>
        </w:tc>
      </w:tr>
    </w:tbl>
    <w:p/>
    <w:p>
      <w:pPr>
        <w:pStyle w:val="Heading2"/>
        <w:spacing w:before="60" w:after="80" w:line="264" w:lineRule="auto"/>
      </w:pPr>
      <w:r>
        <w:t>9.2 上线准入条件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CA 测试环境核心链路联调通过。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至少完成个人签署、企业签章、多签署人、撤销、下载、回调失败重试等场景测试。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明确拒签、印章授权、签署链接有效期等待确认项的处理方案。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运维和实施人员已具备查询与补偿手段。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灰度业务范围、回退策略、上线窗口已确认。</w:t>
      </w:r>
    </w:p>
    <w:p>
      <w:pPr>
        <w:pStyle w:val="Heading1"/>
        <w:spacing w:before="120" w:after="80" w:line="264" w:lineRule="auto"/>
      </w:pPr>
      <w:r>
        <w:t>十、验收清单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外部不改造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使用旧接口调用，业务可完成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返回原合同号，合同进入待签署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用户完成签署，状态变为已签章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企业签章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能使用正确企业印章完成签署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多人签署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部分签署和全部签署状态正确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回调推送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接入方收到原格式回调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回调失败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失败记录可查询、可重推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返回原状态字典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返回原文件字段且文件可打开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返回可理解的验签结果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未完成合同可撤销，已完成合同不可撤销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拒签后状态为已拒绝/已拒签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原字段兼容，不因新规字段缺失失败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灰度切换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可按指定业务范围启停新能力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历史合同查询和下载不受影响</w:t>
            </w:r>
          </w:p>
        </w:tc>
      </w:tr>
    </w:tbl>
    <w:p/>
    <w:p>
      <w:pPr>
        <w:pStyle w:val="Heading1"/>
        <w:spacing w:before="120" w:after="80" w:line="264" w:lineRule="auto"/>
      </w:pPr>
      <w:r>
        <w:t>十一、风险与应对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应对策略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新规字段与旧字段无法一一对应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外部状态或印章信息不完整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建立产品映射规则，无法映射的字段列为待确认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无明确拒签接口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旧拒签能力难以完全等价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 CA 确认拒签信号；必要时采用等效业务处理并记录说明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签署链接有效期短于旧合同有效期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用户晚签时链接失效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支持重新获取签署入口或重新发起签署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接入方回调失败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外部业务状态不同步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失败记录、自动重试、人工补推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新旧合同并存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查询和运营复杂度上升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以合同号记录数据来源，查询时自动路由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灰度范围不清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线上结果不一致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灰度前明确接入方、业务类型和合同类型范围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外部误认为需要改造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项目推进成本上升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提供对外公告：接口不变，仅底层能力升级</w:t>
            </w:r>
          </w:p>
        </w:tc>
      </w:tr>
    </w:tbl>
    <w:p/>
    <w:p>
      <w:pPr>
        <w:pStyle w:val="Heading1"/>
        <w:spacing w:before="120" w:after="80" w:line="264" w:lineRule="auto"/>
      </w:pPr>
      <w:r>
        <w:t>十二、待确认项</w:t>
      </w:r>
    </w:p>
    <w:p>
      <w:pPr>
        <w:pStyle w:val="Heading2"/>
        <w:spacing w:before="60" w:after="80" w:line="264" w:lineRule="auto"/>
      </w:pPr>
      <w:r>
        <w:t>12.1 必须确认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新接口下是否存在明确“拒签”接口或回调状态。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旧创建合同接口中的合同文件来源是否能稳定映射到 CA 所需文件。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签署链接有效期与旧合同有效期不一致时，是否允许重新生成签署链接。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CA 新规下印章授权信息缺失时，旧授权类接口是否由中台本地数据补齐。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企业章、个人签名、手写签名分别采用哪种签章方式作为默认策略。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对外回调是否必须继续支持旧加密回调。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首批灰度接入方、合同类型和上线窗口。</w:t>
      </w:r>
    </w:p>
    <w:p>
      <w:pPr>
        <w:pStyle w:val="Heading2"/>
        <w:spacing w:before="60" w:after="80" w:line="264" w:lineRule="auto"/>
      </w:pPr>
      <w:r>
        <w:t>12.2 建议确认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对外是否需要发布“底层 CA 能力升级，对外接口不变”的通知。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合同文件大小上限和下载超时时间。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回调失败自动重试次数和重试间隔。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运营后台是否已有可复用的失败记录查询和补偿页面。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[待确认] 新 CA 能力上线后的成功率、回调率、异常率日报口径。</w:t>
      </w:r>
    </w:p>
    <w:p>
      <w:pPr>
        <w:pStyle w:val="Heading1"/>
        <w:spacing w:before="120" w:after="80" w:line="264" w:lineRule="auto"/>
      </w:pPr>
      <w:r>
        <w:t>十三、产品评审结论建议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本需求应作为“无纸化中台底层 CA 新规适配”的产品兼容升级项目推进。产品评审时不建议陷入具体加密、签名、字段转换实现细节，而应重点确认以下问题：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外部接入方是否完全无感，哪些情况会被业务方感知。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合同创建、签署、回调、查询、下载、验签是否形成完整闭环。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拒签、印章授权、签署链接过期等新旧能力不一致点如何定义产品规则。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灰度、回退、补偿和运营查询是否足以支撑上线风险。</w:t>
      </w:r>
    </w:p>
    <w:p>
      <w:pPr>
        <w:pStyle w:val="ListNumber"/>
        <w:spacing w:before="0" w:after="40" w:line="283" w:lineRule="auto"/>
      </w:pPr>
      <w:r>
        <w:rPr>
          <w:rFonts w:ascii="Microsoft YaHei" w:hAnsi="Microsoft YaHei" w:eastAsia="Microsoft YaHei"/>
          <w:sz w:val="21"/>
        </w:rPr>
        <w:t>是否需要对外做接口不变的版本公告和联调说明。</w:t>
      </w:r>
    </w:p>
    <w:p>
      <w:pPr>
        <w:spacing w:before="0" w:after="100" w:line="283" w:lineRule="auto"/>
      </w:pPr>
      <w:r>
        <w:rPr>
          <w:rFonts w:ascii="Microsoft YaHei" w:hAnsi="Microsoft YaHei" w:eastAsia="Microsoft YaHei"/>
          <w:sz w:val="21"/>
        </w:rPr>
        <w:t>只要上述问题确认清楚，研发侧即可基于本 PRD 另行输出技术方案和接口映射设计。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无纸化中台 CA 新规适配产品需求文档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0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无纸化中台 CA 新规适配产品需求文档</dc:title>
  <dc:subject>产品经理视角 PRD：对外接口不变，底层 CA 新规适配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